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ED" w:rsidRDefault="00170C21" w:rsidP="003F39ED">
      <w:pPr>
        <w:spacing w:after="0" w:line="240" w:lineRule="auto"/>
      </w:pPr>
      <w:r w:rsidRPr="00170C21">
        <w:t xml:space="preserve">Webinar on recent ACC/AHA </w:t>
      </w:r>
      <w:r w:rsidR="00C10855">
        <w:t>C</w:t>
      </w:r>
      <w:bookmarkStart w:id="0" w:name="_GoBack"/>
      <w:bookmarkEnd w:id="0"/>
      <w:r w:rsidRPr="00170C21">
        <w:t xml:space="preserve">holesterol, Hypertension, and Sodium Guidelines: </w:t>
      </w:r>
    </w:p>
    <w:p w:rsidR="003F39ED" w:rsidRDefault="00170C21" w:rsidP="003F39ED">
      <w:pPr>
        <w:pBdr>
          <w:bottom w:val="single" w:sz="12" w:space="1" w:color="auto"/>
        </w:pBdr>
        <w:spacing w:after="0" w:line="240" w:lineRule="auto"/>
        <w:rPr>
          <w:b/>
          <w:u w:val="single"/>
        </w:rPr>
      </w:pPr>
      <w:r w:rsidRPr="00170C21">
        <w:t>Implications for Cardiovascular Health</w:t>
      </w:r>
      <w:r w:rsidR="003F39ED">
        <w:t>:</w:t>
      </w:r>
      <w:r w:rsidR="003F39ED">
        <w:rPr>
          <w:b/>
        </w:rPr>
        <w:t xml:space="preserve"> </w:t>
      </w:r>
      <w:r w:rsidRPr="003F39ED">
        <w:rPr>
          <w:b/>
        </w:rPr>
        <w:t>Hypertension</w:t>
      </w:r>
    </w:p>
    <w:p w:rsidR="00170C21" w:rsidRPr="00170C21" w:rsidRDefault="00170C21" w:rsidP="003F39ED">
      <w:pPr>
        <w:spacing w:after="0" w:line="240" w:lineRule="auto"/>
      </w:pPr>
      <w:r w:rsidRPr="00170C21">
        <w:t xml:space="preserve"> </w:t>
      </w:r>
    </w:p>
    <w:p w:rsidR="00533078" w:rsidRDefault="00B438BC" w:rsidP="003F39ED">
      <w:pPr>
        <w:spacing w:after="0" w:line="240" w:lineRule="auto"/>
      </w:pPr>
      <w:r w:rsidRPr="00170C21">
        <w:rPr>
          <w:b/>
        </w:rPr>
        <w:t>Background:</w:t>
      </w:r>
      <w:r w:rsidR="00170C21">
        <w:t xml:space="preserve"> </w:t>
      </w:r>
      <w:r w:rsidR="000725E4" w:rsidRPr="00466C3F">
        <w:t>A new guideline for hypertension was recently released in JAMA entitled, “</w:t>
      </w:r>
      <w:r w:rsidR="009F7BE1" w:rsidRPr="00466C3F">
        <w:rPr>
          <w:i/>
        </w:rPr>
        <w:t xml:space="preserve">The 2014 Evidence-Based Guideline for the Management of High Blood Pressure in Adults:  Report </w:t>
      </w:r>
      <w:r w:rsidR="003F39ED" w:rsidRPr="00466C3F">
        <w:rPr>
          <w:i/>
        </w:rPr>
        <w:t>from</w:t>
      </w:r>
      <w:r w:rsidR="009F7BE1" w:rsidRPr="00466C3F">
        <w:rPr>
          <w:i/>
        </w:rPr>
        <w:t xml:space="preserve"> the Panel Members Appointed to the Eighth Joint National Committee (JNC 8)</w:t>
      </w:r>
      <w:r w:rsidR="000725E4" w:rsidRPr="00466C3F">
        <w:t>”</w:t>
      </w:r>
      <w:r w:rsidR="004943DB">
        <w:t xml:space="preserve"> (2014 Hypertension Guideline)</w:t>
      </w:r>
      <w:r w:rsidR="00A570C3" w:rsidRPr="00466C3F">
        <w:t xml:space="preserve">.  </w:t>
      </w:r>
      <w:r w:rsidR="000725E4" w:rsidRPr="00466C3F">
        <w:t>The new guideline used a standardized approach to evalu</w:t>
      </w:r>
      <w:r w:rsidR="007C6EBC" w:rsidRPr="00466C3F">
        <w:t>ate randomized controlled trial</w:t>
      </w:r>
      <w:r w:rsidR="000725E4" w:rsidRPr="00466C3F">
        <w:t xml:space="preserve"> (RCT) evidence for the treatment of hypertens</w:t>
      </w:r>
      <w:r w:rsidR="00A570C3" w:rsidRPr="00466C3F">
        <w:t xml:space="preserve">ion.  </w:t>
      </w:r>
      <w:r w:rsidR="007F6033" w:rsidRPr="00466C3F">
        <w:t xml:space="preserve">The </w:t>
      </w:r>
      <w:r w:rsidR="004943DB">
        <w:t>2014 Hypertension Guideline</w:t>
      </w:r>
      <w:r w:rsidR="007F6033" w:rsidRPr="00466C3F">
        <w:t xml:space="preserve"> used three questions to guide the review </w:t>
      </w:r>
      <w:r w:rsidR="007F6033">
        <w:t>and to</w:t>
      </w:r>
      <w:r w:rsidR="007F6033" w:rsidRPr="00466C3F">
        <w:t xml:space="preserve"> formulate a set of 9 recommendations (Appendix 2)</w:t>
      </w:r>
      <w:r w:rsidR="007F6033">
        <w:t xml:space="preserve">. </w:t>
      </w:r>
    </w:p>
    <w:p w:rsidR="003F39ED" w:rsidRDefault="003F39ED" w:rsidP="003F39ED">
      <w:pPr>
        <w:spacing w:after="0" w:line="240" w:lineRule="auto"/>
        <w:rPr>
          <w:b/>
        </w:rPr>
      </w:pPr>
    </w:p>
    <w:p w:rsidR="00170C21" w:rsidRPr="00170C21" w:rsidRDefault="00170C21" w:rsidP="003F39ED">
      <w:pPr>
        <w:spacing w:after="0" w:line="240" w:lineRule="auto"/>
        <w:rPr>
          <w:b/>
        </w:rPr>
      </w:pPr>
      <w:r w:rsidRPr="00170C21">
        <w:rPr>
          <w:b/>
        </w:rPr>
        <w:t xml:space="preserve">Key Points for Consideration: </w:t>
      </w:r>
    </w:p>
    <w:p w:rsidR="003F39ED" w:rsidRDefault="00170C21" w:rsidP="003F39ED">
      <w:pPr>
        <w:pStyle w:val="ListParagraph"/>
        <w:numPr>
          <w:ilvl w:val="0"/>
          <w:numId w:val="10"/>
        </w:numPr>
        <w:spacing w:after="0" w:line="240" w:lineRule="auto"/>
      </w:pPr>
      <w:r>
        <w:t xml:space="preserve">No change to hypertension control performance measures are recommended for grantees at this time.  Maintain performance goal of &lt;140/90 mmHg for all adults. </w:t>
      </w:r>
    </w:p>
    <w:p w:rsidR="003F39ED" w:rsidRDefault="00170C21" w:rsidP="003F39ED">
      <w:pPr>
        <w:pStyle w:val="ListParagraph"/>
        <w:numPr>
          <w:ilvl w:val="0"/>
          <w:numId w:val="10"/>
        </w:numPr>
        <w:spacing w:after="0" w:line="240" w:lineRule="auto"/>
      </w:pPr>
      <w:r>
        <w:t xml:space="preserve">The differences in treatment goals between JNC 7 and the 2014 new guidelines should not overshadow the importance improving hypertension control in the population. </w:t>
      </w:r>
    </w:p>
    <w:p w:rsidR="003F39ED" w:rsidRDefault="00170C21" w:rsidP="003F39ED">
      <w:pPr>
        <w:pStyle w:val="ListParagraph"/>
        <w:numPr>
          <w:ilvl w:val="0"/>
          <w:numId w:val="10"/>
        </w:numPr>
        <w:spacing w:after="0" w:line="240" w:lineRule="auto"/>
      </w:pPr>
      <w:r>
        <w:t xml:space="preserve">Several other national and international groups do not have a separate treatment goal for those ≥60 years of age. </w:t>
      </w:r>
    </w:p>
    <w:p w:rsidR="003F39ED" w:rsidRDefault="00170C21" w:rsidP="003F39ED">
      <w:pPr>
        <w:pStyle w:val="ListParagraph"/>
        <w:numPr>
          <w:ilvl w:val="0"/>
          <w:numId w:val="10"/>
        </w:numPr>
        <w:spacing w:after="0" w:line="240" w:lineRule="auto"/>
      </w:pPr>
      <w:r>
        <w:t>National guidelines for hypertension are expected to be released in late 2014 or early 2015 from a group of professional societies in collaboration with the National Heart, Lung and Blood Institute.</w:t>
      </w:r>
    </w:p>
    <w:p w:rsidR="00170C21" w:rsidRDefault="00170C21" w:rsidP="003F39ED">
      <w:pPr>
        <w:pStyle w:val="ListParagraph"/>
        <w:numPr>
          <w:ilvl w:val="0"/>
          <w:numId w:val="10"/>
        </w:numPr>
        <w:spacing w:after="0" w:line="240" w:lineRule="auto"/>
      </w:pPr>
      <w:r>
        <w:t xml:space="preserve">Public health should capitalize on the national conversation regarding hypertension treatment to: </w:t>
      </w:r>
    </w:p>
    <w:p w:rsidR="00170C21" w:rsidRDefault="00170C21" w:rsidP="003F39ED">
      <w:pPr>
        <w:pStyle w:val="ListParagraph"/>
        <w:numPr>
          <w:ilvl w:val="0"/>
          <w:numId w:val="9"/>
        </w:numPr>
        <w:spacing w:after="0" w:line="240" w:lineRule="auto"/>
      </w:pPr>
      <w:r>
        <w:t>Highlight the need to identify those with hypertension currently in care,</w:t>
      </w:r>
    </w:p>
    <w:p w:rsidR="00170C21" w:rsidRDefault="00170C21" w:rsidP="003F39ED">
      <w:pPr>
        <w:pStyle w:val="ListParagraph"/>
        <w:numPr>
          <w:ilvl w:val="0"/>
          <w:numId w:val="9"/>
        </w:numPr>
        <w:spacing w:after="0" w:line="240" w:lineRule="auto"/>
      </w:pPr>
      <w:r>
        <w:t>Focus on how the utilization of protocols and/or algorithms can improve hypertension treatment,</w:t>
      </w:r>
    </w:p>
    <w:p w:rsidR="00170C21" w:rsidRDefault="00170C21" w:rsidP="003F39ED">
      <w:pPr>
        <w:pStyle w:val="ListParagraph"/>
        <w:numPr>
          <w:ilvl w:val="0"/>
          <w:numId w:val="9"/>
        </w:numPr>
        <w:spacing w:after="0" w:line="240" w:lineRule="auto"/>
      </w:pPr>
      <w:r>
        <w:t>Incorporate team-based care, and</w:t>
      </w:r>
    </w:p>
    <w:p w:rsidR="00170C21" w:rsidRDefault="00170C21" w:rsidP="003F39ED">
      <w:pPr>
        <w:pStyle w:val="ListParagraph"/>
        <w:numPr>
          <w:ilvl w:val="0"/>
          <w:numId w:val="9"/>
        </w:numPr>
        <w:spacing w:after="0" w:line="240" w:lineRule="auto"/>
      </w:pPr>
      <w:r>
        <w:t>Use health IT to guide and support hypertension treatment.</w:t>
      </w:r>
    </w:p>
    <w:p w:rsidR="00170C21" w:rsidRDefault="00170C21" w:rsidP="003F39ED">
      <w:pPr>
        <w:spacing w:after="0" w:line="240" w:lineRule="auto"/>
        <w:rPr>
          <w:b/>
        </w:rPr>
      </w:pPr>
    </w:p>
    <w:p w:rsidR="00874BBB" w:rsidRPr="00170C21" w:rsidRDefault="00874BBB" w:rsidP="003F39ED">
      <w:pPr>
        <w:spacing w:after="0" w:line="240" w:lineRule="auto"/>
        <w:rPr>
          <w:b/>
        </w:rPr>
      </w:pPr>
      <w:r w:rsidRPr="00170C21">
        <w:rPr>
          <w:b/>
        </w:rPr>
        <w:t xml:space="preserve">Primary </w:t>
      </w:r>
      <w:r w:rsidR="00B438BC" w:rsidRPr="00170C21">
        <w:rPr>
          <w:b/>
        </w:rPr>
        <w:t>D</w:t>
      </w:r>
      <w:r w:rsidRPr="00170C21">
        <w:rPr>
          <w:b/>
        </w:rPr>
        <w:t xml:space="preserve">ifferences between JNC 7 and the 2014 </w:t>
      </w:r>
      <w:r w:rsidR="00B438BC" w:rsidRPr="00170C21">
        <w:rPr>
          <w:b/>
        </w:rPr>
        <w:t>new g</w:t>
      </w:r>
      <w:r w:rsidRPr="00170C21">
        <w:rPr>
          <w:b/>
        </w:rPr>
        <w:t>uidelines</w:t>
      </w:r>
    </w:p>
    <w:p w:rsidR="00874BBB" w:rsidRDefault="00874BBB" w:rsidP="003F39ED">
      <w:pPr>
        <w:pStyle w:val="ListParagraph"/>
        <w:numPr>
          <w:ilvl w:val="0"/>
          <w:numId w:val="3"/>
        </w:numPr>
        <w:spacing w:after="0" w:line="240" w:lineRule="auto"/>
      </w:pPr>
      <w:r>
        <w:t xml:space="preserve">Treatment goals: </w:t>
      </w:r>
    </w:p>
    <w:p w:rsidR="00874BBB" w:rsidRDefault="00874BBB" w:rsidP="003F39ED">
      <w:pPr>
        <w:pStyle w:val="ListParagraph"/>
        <w:numPr>
          <w:ilvl w:val="1"/>
          <w:numId w:val="6"/>
        </w:numPr>
        <w:spacing w:after="0" w:line="240" w:lineRule="auto"/>
      </w:pPr>
      <w:r>
        <w:t>JNC 7 – Systolic blood pressure</w:t>
      </w:r>
      <w:r w:rsidRPr="00874BBB">
        <w:t xml:space="preserve"> (SBP) </w:t>
      </w:r>
      <w:r>
        <w:t xml:space="preserve">&lt;140 mmHg and diastolic blood pressure (DBP) &lt;90 mmHg, with lower targets for those with </w:t>
      </w:r>
      <w:r w:rsidR="007F6033">
        <w:t>diabetes (DM) and chronic kidney disease (CKD)</w:t>
      </w:r>
      <w:r w:rsidR="007F6033" w:rsidRPr="00874BBB">
        <w:t xml:space="preserve"> </w:t>
      </w:r>
      <w:r w:rsidRPr="00874BBB">
        <w:t>(&lt;130</w:t>
      </w:r>
      <w:r>
        <w:t>/80 mm</w:t>
      </w:r>
      <w:r w:rsidRPr="00874BBB">
        <w:t>Hg).</w:t>
      </w:r>
    </w:p>
    <w:p w:rsidR="00533078" w:rsidRDefault="004943DB" w:rsidP="003F39ED">
      <w:pPr>
        <w:pStyle w:val="ListParagraph"/>
        <w:numPr>
          <w:ilvl w:val="1"/>
          <w:numId w:val="6"/>
        </w:numPr>
        <w:spacing w:after="0" w:line="240" w:lineRule="auto"/>
      </w:pPr>
      <w:r>
        <w:t xml:space="preserve">2014 Hypertension Guideline </w:t>
      </w:r>
      <w:r w:rsidR="003F39ED">
        <w:t>–</w:t>
      </w:r>
      <w:r w:rsidR="00874BBB">
        <w:t xml:space="preserve"> </w:t>
      </w:r>
      <w:r w:rsidR="003F39ED">
        <w:t xml:space="preserve">Blood pressure </w:t>
      </w:r>
      <w:r w:rsidR="00874BBB">
        <w:t xml:space="preserve">&lt;140/90 for those &lt;60 years and &lt;150/90 for those ≥60 years, and </w:t>
      </w:r>
      <w:r w:rsidR="007F6033">
        <w:t>did not include</w:t>
      </w:r>
      <w:r w:rsidR="00874BBB">
        <w:t xml:space="preserve"> lower targets for those with DM or </w:t>
      </w:r>
      <w:r w:rsidR="007F6033">
        <w:t>CKD</w:t>
      </w:r>
      <w:r w:rsidR="00874BBB">
        <w:t xml:space="preserve">. </w:t>
      </w:r>
    </w:p>
    <w:p w:rsidR="00533078" w:rsidRDefault="00533078" w:rsidP="003F39ED">
      <w:pPr>
        <w:pStyle w:val="ListParagraph"/>
        <w:numPr>
          <w:ilvl w:val="1"/>
          <w:numId w:val="6"/>
        </w:numPr>
        <w:spacing w:after="0" w:line="240" w:lineRule="auto"/>
      </w:pPr>
      <w:r>
        <w:t xml:space="preserve">Several other guidelines and reports recommend maintaining a treatment goal of </w:t>
      </w:r>
      <w:r w:rsidR="004E7BA3">
        <w:t>&lt;</w:t>
      </w:r>
      <w:r>
        <w:t>140/90 mmHg</w:t>
      </w:r>
      <w:r w:rsidR="006751CE">
        <w:t xml:space="preserve"> </w:t>
      </w:r>
      <w:r w:rsidR="004E7BA3">
        <w:t>and</w:t>
      </w:r>
      <w:r w:rsidR="006751CE">
        <w:t xml:space="preserve"> acknowledge the treatment challenges of older adults</w:t>
      </w:r>
      <w:r>
        <w:t>; some r</w:t>
      </w:r>
      <w:r w:rsidRPr="00EA762C">
        <w:t>ecommended treatment goals for those ≥</w:t>
      </w:r>
      <w:r>
        <w:t>80</w:t>
      </w:r>
      <w:r w:rsidRPr="00EA762C">
        <w:t xml:space="preserve"> years of age to be &lt;150/90 mmHg</w:t>
      </w:r>
      <w:r w:rsidR="006751CE">
        <w:t xml:space="preserve"> (Ref 2-8</w:t>
      </w:r>
      <w:r>
        <w:t>).</w:t>
      </w:r>
    </w:p>
    <w:p w:rsidR="007F6033" w:rsidRDefault="007F6033" w:rsidP="003F39ED">
      <w:pPr>
        <w:pStyle w:val="ListParagraph"/>
        <w:numPr>
          <w:ilvl w:val="0"/>
          <w:numId w:val="3"/>
        </w:numPr>
        <w:spacing w:after="0" w:line="240" w:lineRule="auto"/>
      </w:pPr>
      <w:r>
        <w:t xml:space="preserve">Initial drug treatment </w:t>
      </w:r>
      <w:r w:rsidR="00533078">
        <w:t xml:space="preserve">recommendations </w:t>
      </w:r>
      <w:r w:rsidR="00B01CCC">
        <w:t>and recommendations for</w:t>
      </w:r>
      <w:r>
        <w:t xml:space="preserve"> specific populations:</w:t>
      </w:r>
    </w:p>
    <w:p w:rsidR="00B01CCC" w:rsidRDefault="00F57257" w:rsidP="003F39ED">
      <w:pPr>
        <w:pStyle w:val="ListParagraph"/>
        <w:numPr>
          <w:ilvl w:val="0"/>
          <w:numId w:val="7"/>
        </w:numPr>
        <w:spacing w:after="0" w:line="240" w:lineRule="auto"/>
      </w:pPr>
      <w:r>
        <w:t xml:space="preserve">JNC 7 - </w:t>
      </w:r>
      <w:r w:rsidR="00B01CCC">
        <w:t>Initial antihypertensive treatment</w:t>
      </w:r>
      <w:r w:rsidR="00B01CCC" w:rsidRPr="00B01CCC">
        <w:t xml:space="preserve"> </w:t>
      </w:r>
      <w:r>
        <w:t>included</w:t>
      </w:r>
      <w:r w:rsidR="00B01CCC" w:rsidRPr="00B01CCC">
        <w:t>: thiazide-type diuretics, calcium channel b</w:t>
      </w:r>
      <w:r w:rsidR="00B01CCC">
        <w:t xml:space="preserve">lockers (CCBs), angiotensin converting enzyme inhibitors (ACE), </w:t>
      </w:r>
      <w:r w:rsidR="00B01CCC" w:rsidRPr="00B01CCC">
        <w:t xml:space="preserve">angiotensin receptor blockers </w:t>
      </w:r>
      <w:r w:rsidR="00B01CCC">
        <w:t>(ARB)</w:t>
      </w:r>
      <w:r>
        <w:t xml:space="preserve">, and </w:t>
      </w:r>
      <w:r w:rsidR="00B01CCC">
        <w:t>beta-blockers.</w:t>
      </w:r>
    </w:p>
    <w:p w:rsidR="00F57257" w:rsidRDefault="004943DB" w:rsidP="003F39ED">
      <w:pPr>
        <w:pStyle w:val="ListParagraph"/>
        <w:numPr>
          <w:ilvl w:val="0"/>
          <w:numId w:val="7"/>
        </w:numPr>
        <w:spacing w:after="0" w:line="240" w:lineRule="auto"/>
      </w:pPr>
      <w:r>
        <w:t xml:space="preserve">2014 Hypertension Guideline </w:t>
      </w:r>
      <w:r w:rsidR="00F57257">
        <w:t xml:space="preserve">- </w:t>
      </w:r>
      <w:r w:rsidR="00F57257" w:rsidRPr="00F57257">
        <w:t xml:space="preserve">Initial antihypertensive treatment limited to 4 classes of medications: thiazide-type diuretics, </w:t>
      </w:r>
      <w:r w:rsidR="00F57257">
        <w:t>CCBs</w:t>
      </w:r>
      <w:r w:rsidR="00F57257" w:rsidRPr="00F57257">
        <w:t xml:space="preserve">, </w:t>
      </w:r>
      <w:r w:rsidR="00F57257">
        <w:t>ACE</w:t>
      </w:r>
      <w:r w:rsidR="00F57257" w:rsidRPr="00F57257">
        <w:t xml:space="preserve">, and </w:t>
      </w:r>
      <w:r w:rsidR="00F57257">
        <w:t xml:space="preserve">ARB. </w:t>
      </w:r>
      <w:r w:rsidR="00F57257" w:rsidRPr="00F57257">
        <w:t xml:space="preserve"> </w:t>
      </w:r>
    </w:p>
    <w:p w:rsidR="00533078" w:rsidRDefault="004943DB" w:rsidP="003F39ED">
      <w:pPr>
        <w:pStyle w:val="ListParagraph"/>
        <w:numPr>
          <w:ilvl w:val="0"/>
          <w:numId w:val="7"/>
        </w:numPr>
        <w:spacing w:after="0" w:line="240" w:lineRule="auto"/>
      </w:pPr>
      <w:r>
        <w:t xml:space="preserve">2014 Hypertension Guideline </w:t>
      </w:r>
      <w:r w:rsidR="00533078">
        <w:t xml:space="preserve">included subpopulation recommendations: </w:t>
      </w:r>
    </w:p>
    <w:p w:rsidR="00533078" w:rsidRDefault="007F6033" w:rsidP="004943DB">
      <w:pPr>
        <w:pStyle w:val="ListParagraph"/>
        <w:numPr>
          <w:ilvl w:val="1"/>
          <w:numId w:val="7"/>
        </w:numPr>
        <w:spacing w:after="0" w:line="240" w:lineRule="auto"/>
        <w:ind w:left="1260"/>
      </w:pPr>
      <w:r>
        <w:t>N</w:t>
      </w:r>
      <w:r w:rsidRPr="00F665D5">
        <w:t>onblack hypertensive population</w:t>
      </w:r>
      <w:r>
        <w:t xml:space="preserve">, </w:t>
      </w:r>
      <w:r w:rsidRPr="00F665D5">
        <w:t xml:space="preserve">including those with </w:t>
      </w:r>
      <w:r>
        <w:t>DM</w:t>
      </w:r>
      <w:r w:rsidRPr="00F665D5">
        <w:t xml:space="preserve">, </w:t>
      </w:r>
      <w:r>
        <w:t xml:space="preserve">an </w:t>
      </w:r>
      <w:r w:rsidR="006751CE">
        <w:t>ACE, ARB, CCB</w:t>
      </w:r>
      <w:r w:rsidRPr="00F665D5">
        <w:t xml:space="preserve">, </w:t>
      </w:r>
      <w:r>
        <w:t>or thiazide-type diuretic.</w:t>
      </w:r>
      <w:r w:rsidRPr="00F665D5">
        <w:t xml:space="preserve"> </w:t>
      </w:r>
    </w:p>
    <w:p w:rsidR="00533078" w:rsidRDefault="007F6033" w:rsidP="004943DB">
      <w:pPr>
        <w:pStyle w:val="ListParagraph"/>
        <w:numPr>
          <w:ilvl w:val="1"/>
          <w:numId w:val="7"/>
        </w:numPr>
        <w:spacing w:after="0" w:line="240" w:lineRule="auto"/>
        <w:ind w:left="1260"/>
      </w:pPr>
      <w:r>
        <w:t>B</w:t>
      </w:r>
      <w:r w:rsidRPr="00F665D5">
        <w:t xml:space="preserve">lack hypertensive population, including those with </w:t>
      </w:r>
      <w:r>
        <w:t>DM</w:t>
      </w:r>
      <w:r w:rsidRPr="00F665D5">
        <w:t xml:space="preserve">, a </w:t>
      </w:r>
      <w:r w:rsidR="006751CE">
        <w:t>CCB</w:t>
      </w:r>
      <w:r w:rsidRPr="00F665D5">
        <w:t xml:space="preserve"> or thiazide-type diuretic</w:t>
      </w:r>
      <w:r>
        <w:t>.</w:t>
      </w:r>
    </w:p>
    <w:p w:rsidR="007F6033" w:rsidRDefault="007F6033" w:rsidP="004943DB">
      <w:pPr>
        <w:pStyle w:val="ListParagraph"/>
        <w:numPr>
          <w:ilvl w:val="1"/>
          <w:numId w:val="7"/>
        </w:numPr>
        <w:spacing w:after="0" w:line="240" w:lineRule="auto"/>
        <w:ind w:left="1260"/>
      </w:pPr>
      <w:r>
        <w:t xml:space="preserve">Persons with CKD, </w:t>
      </w:r>
      <w:r w:rsidRPr="00F665D5">
        <w:t xml:space="preserve">initial or add-on antihypertensive therapy with an </w:t>
      </w:r>
      <w:r w:rsidR="006751CE">
        <w:t>ACE or ARB</w:t>
      </w:r>
      <w:r w:rsidRPr="00F665D5">
        <w:t>.</w:t>
      </w:r>
    </w:p>
    <w:p w:rsidR="006751CE" w:rsidRDefault="006751CE" w:rsidP="003F39ED">
      <w:pPr>
        <w:pStyle w:val="ListParagraph"/>
        <w:numPr>
          <w:ilvl w:val="0"/>
          <w:numId w:val="3"/>
        </w:numPr>
        <w:spacing w:after="0" w:line="240" w:lineRule="auto"/>
      </w:pPr>
      <w:r>
        <w:t>Recommendations for follow-up</w:t>
      </w:r>
    </w:p>
    <w:p w:rsidR="006751CE" w:rsidRDefault="00533078" w:rsidP="003F39ED">
      <w:pPr>
        <w:pStyle w:val="ListParagraph"/>
        <w:numPr>
          <w:ilvl w:val="1"/>
          <w:numId w:val="8"/>
        </w:numPr>
        <w:spacing w:after="0" w:line="240" w:lineRule="auto"/>
      </w:pPr>
      <w:r w:rsidRPr="00533078">
        <w:t xml:space="preserve">JNC 7 </w:t>
      </w:r>
      <w:r w:rsidR="00617604">
        <w:t xml:space="preserve">– follow-up and adjustment of antihypertensive therapy at approximately monthly intervals until BP goal reached.  More frequent visits for those with stage 2 hypertension or other comorbidities. </w:t>
      </w:r>
      <w:r w:rsidRPr="00533078">
        <w:t xml:space="preserve"> </w:t>
      </w:r>
    </w:p>
    <w:p w:rsidR="00533078" w:rsidRPr="00466C3F" w:rsidRDefault="004943DB" w:rsidP="003F39ED">
      <w:pPr>
        <w:pStyle w:val="ListParagraph"/>
        <w:numPr>
          <w:ilvl w:val="1"/>
          <w:numId w:val="8"/>
        </w:numPr>
        <w:spacing w:after="0" w:line="240" w:lineRule="auto"/>
      </w:pPr>
      <w:r>
        <w:lastRenderedPageBreak/>
        <w:t xml:space="preserve">2014 Hypertension Guideline </w:t>
      </w:r>
      <w:r w:rsidR="006751CE">
        <w:t>– treatment goal should be reached in one month. If not reached</w:t>
      </w:r>
      <w:r w:rsidR="00EB70A0">
        <w:t>,</w:t>
      </w:r>
      <w:r w:rsidR="006751CE">
        <w:t xml:space="preserve"> titration or the addition of another medication is recommended.  Strategies to dose antihypertensive medicat</w:t>
      </w:r>
      <w:r w:rsidR="004E7BA3">
        <w:t>ions are provided for reference in the guidelines.</w:t>
      </w:r>
    </w:p>
    <w:p w:rsidR="003F39ED" w:rsidRDefault="003F39ED">
      <w:pPr>
        <w:rPr>
          <w:b/>
        </w:rPr>
      </w:pPr>
      <w:r>
        <w:rPr>
          <w:b/>
        </w:rPr>
        <w:br w:type="page"/>
      </w:r>
    </w:p>
    <w:p w:rsidR="009F7BE1" w:rsidRPr="009E26B1" w:rsidRDefault="00E47A80">
      <w:pPr>
        <w:rPr>
          <w:b/>
        </w:rPr>
      </w:pPr>
      <w:r w:rsidRPr="009E26B1">
        <w:rPr>
          <w:b/>
        </w:rPr>
        <w:lastRenderedPageBreak/>
        <w:t xml:space="preserve">Appendix 1: Comparison of 2014 </w:t>
      </w:r>
      <w:r w:rsidR="004943DB">
        <w:rPr>
          <w:b/>
        </w:rPr>
        <w:t>Hypertension Guideline</w:t>
      </w:r>
      <w:r w:rsidR="005506AC">
        <w:rPr>
          <w:b/>
        </w:rPr>
        <w:t xml:space="preserve"> </w:t>
      </w:r>
      <w:r w:rsidR="004943DB">
        <w:rPr>
          <w:b/>
        </w:rPr>
        <w:t xml:space="preserve">and </w:t>
      </w:r>
      <w:r w:rsidR="004943DB" w:rsidRPr="009E26B1">
        <w:rPr>
          <w:b/>
        </w:rPr>
        <w:t>Recommendations</w:t>
      </w:r>
      <w:r w:rsidRPr="009E26B1">
        <w:rPr>
          <w:b/>
        </w:rPr>
        <w:t xml:space="preserve"> with JNC 7</w:t>
      </w:r>
    </w:p>
    <w:tbl>
      <w:tblPr>
        <w:tblStyle w:val="TableGrid"/>
        <w:tblW w:w="0" w:type="auto"/>
        <w:tblLook w:val="04A0" w:firstRow="1" w:lastRow="0" w:firstColumn="1" w:lastColumn="0" w:noHBand="0" w:noVBand="1"/>
      </w:tblPr>
      <w:tblGrid>
        <w:gridCol w:w="1894"/>
        <w:gridCol w:w="4334"/>
        <w:gridCol w:w="4068"/>
      </w:tblGrid>
      <w:tr w:rsidR="00466C3F" w:rsidRPr="00466C3F" w:rsidTr="000725E4">
        <w:tc>
          <w:tcPr>
            <w:tcW w:w="1894" w:type="dxa"/>
          </w:tcPr>
          <w:p w:rsidR="00E47A80" w:rsidRPr="00466C3F" w:rsidRDefault="00E47A80" w:rsidP="004E5DEC">
            <w:r w:rsidRPr="00466C3F">
              <w:t xml:space="preserve">Topic </w:t>
            </w:r>
          </w:p>
        </w:tc>
        <w:tc>
          <w:tcPr>
            <w:tcW w:w="4334" w:type="dxa"/>
          </w:tcPr>
          <w:p w:rsidR="00E47A80" w:rsidRPr="00466C3F" w:rsidRDefault="00E47A80" w:rsidP="004E5DEC">
            <w:r w:rsidRPr="00466C3F">
              <w:t>JNC 7</w:t>
            </w:r>
          </w:p>
        </w:tc>
        <w:tc>
          <w:tcPr>
            <w:tcW w:w="4068" w:type="dxa"/>
          </w:tcPr>
          <w:p w:rsidR="00E47A80" w:rsidRPr="00466C3F" w:rsidRDefault="004943DB" w:rsidP="005506AC">
            <w:r w:rsidRPr="009E26B1">
              <w:rPr>
                <w:b/>
              </w:rPr>
              <w:t xml:space="preserve">2014 </w:t>
            </w:r>
            <w:r>
              <w:rPr>
                <w:b/>
              </w:rPr>
              <w:t>Hypertension Guideline</w:t>
            </w:r>
          </w:p>
        </w:tc>
      </w:tr>
      <w:tr w:rsidR="00466C3F" w:rsidRPr="00466C3F" w:rsidTr="000725E4">
        <w:tc>
          <w:tcPr>
            <w:tcW w:w="1894" w:type="dxa"/>
          </w:tcPr>
          <w:p w:rsidR="00E47A80" w:rsidRPr="00466C3F" w:rsidRDefault="00E47A80" w:rsidP="004E5DEC">
            <w:r w:rsidRPr="00466C3F">
              <w:t xml:space="preserve">Methodology </w:t>
            </w:r>
          </w:p>
        </w:tc>
        <w:tc>
          <w:tcPr>
            <w:tcW w:w="4334" w:type="dxa"/>
          </w:tcPr>
          <w:p w:rsidR="00E47A80" w:rsidRPr="00466C3F" w:rsidRDefault="00E47A80" w:rsidP="004E5DEC">
            <w:pPr>
              <w:pStyle w:val="ListParagraph"/>
              <w:numPr>
                <w:ilvl w:val="0"/>
                <w:numId w:val="1"/>
              </w:numPr>
            </w:pPr>
            <w:r w:rsidRPr="00466C3F">
              <w:t>Nonsystematic literature review by expert committee including a range of study designs</w:t>
            </w:r>
          </w:p>
          <w:p w:rsidR="00E47A80" w:rsidRPr="00466C3F" w:rsidRDefault="00E47A80" w:rsidP="004E5DEC">
            <w:pPr>
              <w:pStyle w:val="ListParagraph"/>
              <w:numPr>
                <w:ilvl w:val="0"/>
                <w:numId w:val="1"/>
              </w:numPr>
            </w:pPr>
            <w:r w:rsidRPr="00466C3F">
              <w:t>Recommendations based on consensus</w:t>
            </w:r>
          </w:p>
        </w:tc>
        <w:tc>
          <w:tcPr>
            <w:tcW w:w="4068" w:type="dxa"/>
          </w:tcPr>
          <w:p w:rsidR="00E47A80" w:rsidRPr="00466C3F" w:rsidRDefault="00E47A80" w:rsidP="004E5DEC">
            <w:pPr>
              <w:pStyle w:val="ListParagraph"/>
              <w:numPr>
                <w:ilvl w:val="0"/>
                <w:numId w:val="1"/>
              </w:numPr>
            </w:pPr>
            <w:r w:rsidRPr="00466C3F">
              <w:t xml:space="preserve">Critical questions and review criteria defined by expert panel with input from methodology team </w:t>
            </w:r>
          </w:p>
          <w:p w:rsidR="00E47A80" w:rsidRPr="00466C3F" w:rsidRDefault="00E47A80" w:rsidP="004E5DEC">
            <w:pPr>
              <w:pStyle w:val="ListParagraph"/>
              <w:numPr>
                <w:ilvl w:val="0"/>
                <w:numId w:val="1"/>
              </w:numPr>
            </w:pPr>
            <w:r w:rsidRPr="00466C3F">
              <w:t>Initial systematic review by methodologists restricted to RCT evidence</w:t>
            </w:r>
          </w:p>
          <w:p w:rsidR="00E47A80" w:rsidRPr="00466C3F" w:rsidRDefault="00E47A80" w:rsidP="004E5DEC">
            <w:pPr>
              <w:pStyle w:val="ListParagraph"/>
              <w:numPr>
                <w:ilvl w:val="0"/>
                <w:numId w:val="1"/>
              </w:numPr>
            </w:pPr>
            <w:r w:rsidRPr="00466C3F">
              <w:t>Subsequent review of RCT evidence and recommendation by the panel according to a standardized protocol</w:t>
            </w:r>
          </w:p>
        </w:tc>
      </w:tr>
      <w:tr w:rsidR="00466C3F" w:rsidRPr="00466C3F" w:rsidTr="000725E4">
        <w:tc>
          <w:tcPr>
            <w:tcW w:w="1894" w:type="dxa"/>
          </w:tcPr>
          <w:p w:rsidR="00E47A80" w:rsidRPr="00466C3F" w:rsidRDefault="00E47A80" w:rsidP="004E5DEC">
            <w:r w:rsidRPr="00466C3F">
              <w:t>Definitions</w:t>
            </w:r>
          </w:p>
        </w:tc>
        <w:tc>
          <w:tcPr>
            <w:tcW w:w="4334" w:type="dxa"/>
          </w:tcPr>
          <w:p w:rsidR="00E47A80" w:rsidRPr="00466C3F" w:rsidRDefault="00E47A80" w:rsidP="000725E4">
            <w:pPr>
              <w:pStyle w:val="ListParagraph"/>
              <w:numPr>
                <w:ilvl w:val="0"/>
                <w:numId w:val="1"/>
              </w:numPr>
            </w:pPr>
            <w:r w:rsidRPr="00466C3F">
              <w:t>Defined hypertension and prehypertension</w:t>
            </w:r>
          </w:p>
        </w:tc>
        <w:tc>
          <w:tcPr>
            <w:tcW w:w="4068" w:type="dxa"/>
          </w:tcPr>
          <w:p w:rsidR="00E47A80" w:rsidRPr="00466C3F" w:rsidRDefault="00E47A80" w:rsidP="000725E4">
            <w:pPr>
              <w:pStyle w:val="ListParagraph"/>
              <w:numPr>
                <w:ilvl w:val="0"/>
                <w:numId w:val="1"/>
              </w:numPr>
            </w:pPr>
            <w:r w:rsidRPr="00466C3F">
              <w:t>Definitions of hypertension and prehypertension not addressed, but thresholds for pharmacologic treatment were defined</w:t>
            </w:r>
          </w:p>
        </w:tc>
      </w:tr>
      <w:tr w:rsidR="00466C3F" w:rsidRPr="00466C3F" w:rsidTr="000725E4">
        <w:tc>
          <w:tcPr>
            <w:tcW w:w="1894" w:type="dxa"/>
          </w:tcPr>
          <w:p w:rsidR="00E47A80" w:rsidRPr="00466C3F" w:rsidRDefault="00E47A80" w:rsidP="004E5DEC">
            <w:r w:rsidRPr="00466C3F">
              <w:t>Treatment Goals</w:t>
            </w:r>
          </w:p>
        </w:tc>
        <w:tc>
          <w:tcPr>
            <w:tcW w:w="4334" w:type="dxa"/>
          </w:tcPr>
          <w:p w:rsidR="00E47A80" w:rsidRPr="00466C3F" w:rsidRDefault="00E47A80" w:rsidP="000725E4">
            <w:pPr>
              <w:pStyle w:val="ListParagraph"/>
              <w:numPr>
                <w:ilvl w:val="0"/>
                <w:numId w:val="1"/>
              </w:numPr>
            </w:pPr>
            <w:r w:rsidRPr="00466C3F">
              <w:t>Separate treatment goals defined for “uncomplicated” hypertension and for subsets with various comorbid conditions (diabetes and CKD)</w:t>
            </w:r>
          </w:p>
        </w:tc>
        <w:tc>
          <w:tcPr>
            <w:tcW w:w="4068" w:type="dxa"/>
          </w:tcPr>
          <w:p w:rsidR="00E47A80" w:rsidRPr="00466C3F" w:rsidRDefault="00E47A80" w:rsidP="000725E4">
            <w:pPr>
              <w:pStyle w:val="ListParagraph"/>
              <w:numPr>
                <w:ilvl w:val="0"/>
                <w:numId w:val="1"/>
              </w:numPr>
            </w:pPr>
            <w:r w:rsidRPr="00466C3F">
              <w:t>Similar treatment goals defined for all hypertensive populations except when evidence review supports different goals for a particular subpopulation</w:t>
            </w:r>
          </w:p>
        </w:tc>
      </w:tr>
      <w:tr w:rsidR="00466C3F" w:rsidRPr="00466C3F" w:rsidTr="000725E4">
        <w:tc>
          <w:tcPr>
            <w:tcW w:w="1894" w:type="dxa"/>
          </w:tcPr>
          <w:p w:rsidR="00E47A80" w:rsidRPr="00466C3F" w:rsidRDefault="00E47A80" w:rsidP="004E5DEC">
            <w:r w:rsidRPr="00466C3F">
              <w:t>Lifestyle Recommendations</w:t>
            </w:r>
          </w:p>
        </w:tc>
        <w:tc>
          <w:tcPr>
            <w:tcW w:w="4334" w:type="dxa"/>
          </w:tcPr>
          <w:p w:rsidR="00E47A80" w:rsidRPr="00466C3F" w:rsidRDefault="00E47A80" w:rsidP="000725E4">
            <w:pPr>
              <w:pStyle w:val="ListParagraph"/>
              <w:numPr>
                <w:ilvl w:val="0"/>
                <w:numId w:val="1"/>
              </w:numPr>
            </w:pPr>
            <w:r w:rsidRPr="00466C3F">
              <w:t>Recommended lifestyle modifications based on literature review and expert opinion</w:t>
            </w:r>
          </w:p>
        </w:tc>
        <w:tc>
          <w:tcPr>
            <w:tcW w:w="4068" w:type="dxa"/>
          </w:tcPr>
          <w:p w:rsidR="00E47A80" w:rsidRPr="00466C3F" w:rsidRDefault="00E47A80" w:rsidP="000725E4">
            <w:pPr>
              <w:pStyle w:val="ListParagraph"/>
              <w:numPr>
                <w:ilvl w:val="0"/>
                <w:numId w:val="1"/>
              </w:numPr>
            </w:pPr>
            <w:r w:rsidRPr="00466C3F">
              <w:t>Lifestyle modifications recommended by endorsing the evidenced-based Recommendations of the Lifestyle Work Group</w:t>
            </w:r>
          </w:p>
        </w:tc>
      </w:tr>
      <w:tr w:rsidR="00466C3F" w:rsidRPr="00466C3F" w:rsidTr="000725E4">
        <w:tc>
          <w:tcPr>
            <w:tcW w:w="1894" w:type="dxa"/>
          </w:tcPr>
          <w:p w:rsidR="00E47A80" w:rsidRPr="00466C3F" w:rsidRDefault="00E47A80" w:rsidP="004E5DEC">
            <w:r w:rsidRPr="00466C3F">
              <w:t>Drug Therapy</w:t>
            </w:r>
          </w:p>
        </w:tc>
        <w:tc>
          <w:tcPr>
            <w:tcW w:w="4334" w:type="dxa"/>
          </w:tcPr>
          <w:p w:rsidR="00E47A80" w:rsidRPr="00466C3F" w:rsidRDefault="00E47A80" w:rsidP="000725E4">
            <w:pPr>
              <w:pStyle w:val="ListParagraph"/>
              <w:numPr>
                <w:ilvl w:val="0"/>
                <w:numId w:val="1"/>
              </w:numPr>
            </w:pPr>
            <w:r w:rsidRPr="00466C3F">
              <w:t>Recommended 5 classes to be considered as initial therapy but recommended thiazide-type diuretics as initial therapy for most patients without compelling indications (i.e., diabetes, CKD, heart failure, myocardial infarction, stroke, and high CVD risk</w:t>
            </w:r>
          </w:p>
          <w:p w:rsidR="00E47A80" w:rsidRPr="00466C3F" w:rsidRDefault="00E47A80" w:rsidP="000725E4">
            <w:pPr>
              <w:pStyle w:val="ListParagraph"/>
              <w:numPr>
                <w:ilvl w:val="0"/>
                <w:numId w:val="1"/>
              </w:numPr>
            </w:pPr>
            <w:r w:rsidRPr="00466C3F">
              <w:t>Included a comprehensive table of oral antihypertensive drugs including names and usual dose range</w:t>
            </w:r>
          </w:p>
        </w:tc>
        <w:tc>
          <w:tcPr>
            <w:tcW w:w="4068" w:type="dxa"/>
          </w:tcPr>
          <w:p w:rsidR="00E47A80" w:rsidRPr="00466C3F" w:rsidRDefault="00E47A80" w:rsidP="000725E4">
            <w:pPr>
              <w:pStyle w:val="ListParagraph"/>
              <w:numPr>
                <w:ilvl w:val="0"/>
                <w:numId w:val="1"/>
              </w:numPr>
            </w:pPr>
            <w:r w:rsidRPr="00466C3F">
              <w:t>Recommended selection among 4 specific medication classes (ACEI or ARB, CCB, diuretics) and doses based on RCT evidence</w:t>
            </w:r>
          </w:p>
          <w:p w:rsidR="00E47A80" w:rsidRPr="00466C3F" w:rsidRDefault="00E47A80" w:rsidP="000725E4">
            <w:pPr>
              <w:pStyle w:val="ListParagraph"/>
              <w:numPr>
                <w:ilvl w:val="0"/>
                <w:numId w:val="1"/>
              </w:numPr>
            </w:pPr>
            <w:r w:rsidRPr="00466C3F">
              <w:t>Recommended specific medication classes based on evidence review for racial, CKD, and diabetic subgroups</w:t>
            </w:r>
          </w:p>
          <w:p w:rsidR="00E47A80" w:rsidRPr="00466C3F" w:rsidRDefault="00E47A80" w:rsidP="000725E4">
            <w:pPr>
              <w:pStyle w:val="ListParagraph"/>
              <w:numPr>
                <w:ilvl w:val="0"/>
                <w:numId w:val="1"/>
              </w:numPr>
            </w:pPr>
            <w:r w:rsidRPr="00466C3F">
              <w:t>Panel created a table of drugs and doses used in the outcome trials</w:t>
            </w:r>
          </w:p>
        </w:tc>
      </w:tr>
      <w:tr w:rsidR="00466C3F" w:rsidRPr="00466C3F" w:rsidTr="000725E4">
        <w:tc>
          <w:tcPr>
            <w:tcW w:w="1894" w:type="dxa"/>
          </w:tcPr>
          <w:p w:rsidR="00E47A80" w:rsidRPr="00466C3F" w:rsidRDefault="00E47A80" w:rsidP="004E5DEC">
            <w:r w:rsidRPr="00466C3F">
              <w:t>Scope of topics</w:t>
            </w:r>
          </w:p>
        </w:tc>
        <w:tc>
          <w:tcPr>
            <w:tcW w:w="4334" w:type="dxa"/>
          </w:tcPr>
          <w:p w:rsidR="00E47A80" w:rsidRPr="00466C3F" w:rsidRDefault="00E47A80" w:rsidP="000725E4">
            <w:pPr>
              <w:pStyle w:val="ListParagraph"/>
              <w:numPr>
                <w:ilvl w:val="0"/>
                <w:numId w:val="1"/>
              </w:numPr>
            </w:pPr>
            <w:r w:rsidRPr="00466C3F">
              <w:t>Addressed multiple issues (blood pressure measurement methods, patient evaluation components, secondary hypertension, adherence to regimens, resistant hypertension, and hypertension in special populations) based on literature review and expert opinion</w:t>
            </w:r>
          </w:p>
        </w:tc>
        <w:tc>
          <w:tcPr>
            <w:tcW w:w="4068" w:type="dxa"/>
          </w:tcPr>
          <w:p w:rsidR="00E47A80" w:rsidRPr="00466C3F" w:rsidRDefault="00E47A80" w:rsidP="000725E4">
            <w:pPr>
              <w:pStyle w:val="ListParagraph"/>
              <w:numPr>
                <w:ilvl w:val="0"/>
                <w:numId w:val="1"/>
              </w:numPr>
            </w:pPr>
            <w:r w:rsidRPr="00466C3F">
              <w:t>Evidence review of RCTs addressed a limited number of questions, those judged by the panel to be of highest priority</w:t>
            </w:r>
          </w:p>
        </w:tc>
      </w:tr>
      <w:tr w:rsidR="00466C3F" w:rsidRPr="00466C3F" w:rsidTr="000725E4">
        <w:tc>
          <w:tcPr>
            <w:tcW w:w="1894" w:type="dxa"/>
          </w:tcPr>
          <w:p w:rsidR="00E47A80" w:rsidRPr="00466C3F" w:rsidRDefault="00E47A80" w:rsidP="004E5DEC">
            <w:r w:rsidRPr="00466C3F">
              <w:t>Review process prior to publication</w:t>
            </w:r>
          </w:p>
        </w:tc>
        <w:tc>
          <w:tcPr>
            <w:tcW w:w="4334" w:type="dxa"/>
          </w:tcPr>
          <w:p w:rsidR="00E47A80" w:rsidRPr="00466C3F" w:rsidRDefault="00E47A80" w:rsidP="000725E4">
            <w:pPr>
              <w:pStyle w:val="ListParagraph"/>
              <w:numPr>
                <w:ilvl w:val="0"/>
                <w:numId w:val="1"/>
              </w:numPr>
            </w:pPr>
            <w:r w:rsidRPr="00466C3F">
              <w:t xml:space="preserve">Reviewed by the National High Blood Pressure Education Program Coordinating </w:t>
            </w:r>
            <w:r w:rsidR="000725E4" w:rsidRPr="00466C3F">
              <w:t>Committee</w:t>
            </w:r>
            <w:r w:rsidRPr="00466C3F">
              <w:t>, a coalition of 39 major processional, public and voluntary organizations and 7 federal agencies</w:t>
            </w:r>
          </w:p>
        </w:tc>
        <w:tc>
          <w:tcPr>
            <w:tcW w:w="4068" w:type="dxa"/>
          </w:tcPr>
          <w:p w:rsidR="00E47A80" w:rsidRPr="00466C3F" w:rsidRDefault="00E47A80" w:rsidP="000725E4">
            <w:pPr>
              <w:pStyle w:val="ListParagraph"/>
              <w:numPr>
                <w:ilvl w:val="0"/>
                <w:numId w:val="1"/>
              </w:numPr>
            </w:pPr>
            <w:r w:rsidRPr="00466C3F">
              <w:t>Review by experts including those affiliated with professional and public organizations and federal agencies; no official sponsorship by any organization should be inferred</w:t>
            </w:r>
          </w:p>
        </w:tc>
      </w:tr>
      <w:tr w:rsidR="00466C3F" w:rsidRPr="00466C3F" w:rsidTr="004E5DEC">
        <w:tc>
          <w:tcPr>
            <w:tcW w:w="10296" w:type="dxa"/>
            <w:gridSpan w:val="3"/>
          </w:tcPr>
          <w:p w:rsidR="00E47A80" w:rsidRPr="00466C3F" w:rsidRDefault="00E47A80" w:rsidP="004E5DEC">
            <w:r w:rsidRPr="00466C3F">
              <w:t>ACEI: angiotensin-converting enzyme inhibitor; ARB: angiotensin receptor blocker; CCB: calcium channel blocker; CKD: chronic kidney disease; CVD: cardiovascular disease; JNC: Joint National Committee; RCT: randomized controlled trial</w:t>
            </w:r>
          </w:p>
        </w:tc>
      </w:tr>
      <w:tr w:rsidR="00E47A80" w:rsidRPr="00466C3F" w:rsidTr="004E5DEC">
        <w:tc>
          <w:tcPr>
            <w:tcW w:w="10296" w:type="dxa"/>
            <w:gridSpan w:val="3"/>
          </w:tcPr>
          <w:p w:rsidR="00E47A80" w:rsidRPr="00466C3F" w:rsidRDefault="00E47A80" w:rsidP="004E5DEC">
            <w:r w:rsidRPr="00466C3F">
              <w:t>JAMA. 2013. doi:10.1001/jama.2013.284427 (Table 1)</w:t>
            </w:r>
          </w:p>
        </w:tc>
      </w:tr>
    </w:tbl>
    <w:p w:rsidR="00466C3F" w:rsidRPr="009E26B1" w:rsidRDefault="00466C3F" w:rsidP="00E47A80">
      <w:pPr>
        <w:rPr>
          <w:b/>
        </w:rPr>
      </w:pPr>
      <w:r w:rsidRPr="009E26B1">
        <w:rPr>
          <w:b/>
        </w:rPr>
        <w:lastRenderedPageBreak/>
        <w:t xml:space="preserve">Appendix 2: </w:t>
      </w:r>
      <w:r w:rsidR="009E26B1" w:rsidRPr="009E26B1">
        <w:rPr>
          <w:b/>
        </w:rPr>
        <w:t xml:space="preserve">2014 </w:t>
      </w:r>
      <w:r w:rsidR="005506AC">
        <w:rPr>
          <w:b/>
        </w:rPr>
        <w:t xml:space="preserve">new guidelines </w:t>
      </w:r>
      <w:r w:rsidR="009E26B1" w:rsidRPr="009E26B1">
        <w:rPr>
          <w:b/>
        </w:rPr>
        <w:t>Recommendations</w:t>
      </w:r>
    </w:p>
    <w:tbl>
      <w:tblPr>
        <w:tblStyle w:val="LightShading-Accent1"/>
        <w:tblW w:w="10224" w:type="dxa"/>
        <w:tblLook w:val="0420" w:firstRow="1" w:lastRow="0" w:firstColumn="0" w:lastColumn="0" w:noHBand="0" w:noVBand="1"/>
      </w:tblPr>
      <w:tblGrid>
        <w:gridCol w:w="1980"/>
        <w:gridCol w:w="6416"/>
        <w:gridCol w:w="1828"/>
      </w:tblGrid>
      <w:tr w:rsidR="00466C3F" w:rsidRPr="00466C3F" w:rsidTr="009E26B1">
        <w:trPr>
          <w:cnfStyle w:val="100000000000" w:firstRow="1" w:lastRow="0" w:firstColumn="0" w:lastColumn="0" w:oddVBand="0" w:evenVBand="0" w:oddHBand="0" w:evenHBand="0" w:firstRowFirstColumn="0" w:firstRowLastColumn="0" w:lastRowFirstColumn="0" w:lastRowLastColumn="0"/>
          <w:trHeight w:val="286"/>
        </w:trPr>
        <w:tc>
          <w:tcPr>
            <w:tcW w:w="10224" w:type="dxa"/>
            <w:gridSpan w:val="3"/>
          </w:tcPr>
          <w:p w:rsidR="00466C3F" w:rsidRPr="00466C3F" w:rsidRDefault="00466C3F" w:rsidP="00466C3F">
            <w:pPr>
              <w:jc w:val="center"/>
              <w:rPr>
                <w:color w:val="auto"/>
              </w:rPr>
            </w:pPr>
            <w:r w:rsidRPr="00466C3F">
              <w:rPr>
                <w:color w:val="auto"/>
              </w:rPr>
              <w:t xml:space="preserve">Recommendations 1 </w:t>
            </w:r>
            <w:r w:rsidR="007D5682">
              <w:rPr>
                <w:color w:val="auto"/>
              </w:rPr>
              <w:t>–</w:t>
            </w:r>
            <w:r w:rsidRPr="00466C3F">
              <w:rPr>
                <w:color w:val="auto"/>
              </w:rPr>
              <w:t xml:space="preserve"> 5</w:t>
            </w:r>
          </w:p>
        </w:tc>
      </w:tr>
      <w:tr w:rsidR="00466C3F" w:rsidRPr="00466C3F" w:rsidTr="00466C3F">
        <w:trPr>
          <w:cnfStyle w:val="000000100000" w:firstRow="0" w:lastRow="0" w:firstColumn="0" w:lastColumn="0" w:oddVBand="0" w:evenVBand="0" w:oddHBand="1" w:evenHBand="0" w:firstRowFirstColumn="0" w:firstRowLastColumn="0" w:lastRowFirstColumn="0" w:lastRowLastColumn="0"/>
          <w:trHeight w:val="584"/>
        </w:trPr>
        <w:tc>
          <w:tcPr>
            <w:tcW w:w="1980" w:type="dxa"/>
            <w:hideMark/>
          </w:tcPr>
          <w:p w:rsidR="00AA1F9B" w:rsidRPr="00466C3F" w:rsidRDefault="00466C3F" w:rsidP="00466C3F">
            <w:pPr>
              <w:rPr>
                <w:color w:val="auto"/>
              </w:rPr>
            </w:pPr>
            <w:r w:rsidRPr="00466C3F">
              <w:rPr>
                <w:b/>
                <w:bCs/>
                <w:color w:val="auto"/>
              </w:rPr>
              <w:t>Population</w:t>
            </w:r>
          </w:p>
        </w:tc>
        <w:tc>
          <w:tcPr>
            <w:tcW w:w="6416" w:type="dxa"/>
            <w:hideMark/>
          </w:tcPr>
          <w:p w:rsidR="00AA1F9B" w:rsidRPr="00466C3F" w:rsidRDefault="00466C3F" w:rsidP="00466C3F">
            <w:pPr>
              <w:rPr>
                <w:color w:val="auto"/>
              </w:rPr>
            </w:pPr>
            <w:r w:rsidRPr="00466C3F">
              <w:rPr>
                <w:b/>
                <w:bCs/>
                <w:color w:val="auto"/>
              </w:rPr>
              <w:t xml:space="preserve">When to initiate treatment: </w:t>
            </w:r>
          </w:p>
        </w:tc>
        <w:tc>
          <w:tcPr>
            <w:tcW w:w="1828" w:type="dxa"/>
            <w:hideMark/>
          </w:tcPr>
          <w:p w:rsidR="00466C3F" w:rsidRPr="00466C3F" w:rsidRDefault="00466C3F" w:rsidP="00466C3F">
            <w:pPr>
              <w:rPr>
                <w:color w:val="auto"/>
              </w:rPr>
            </w:pPr>
          </w:p>
        </w:tc>
      </w:tr>
      <w:tr w:rsidR="00466C3F" w:rsidRPr="00466C3F" w:rsidTr="009E26B1">
        <w:trPr>
          <w:trHeight w:val="630"/>
        </w:trPr>
        <w:tc>
          <w:tcPr>
            <w:tcW w:w="1980" w:type="dxa"/>
            <w:hideMark/>
          </w:tcPr>
          <w:p w:rsidR="00AA1F9B" w:rsidRPr="00466C3F" w:rsidRDefault="00466C3F" w:rsidP="00466C3F">
            <w:pPr>
              <w:rPr>
                <w:color w:val="auto"/>
              </w:rPr>
            </w:pPr>
            <w:r w:rsidRPr="00466C3F">
              <w:rPr>
                <w:color w:val="auto"/>
              </w:rPr>
              <w:t>General population ≥60 years</w:t>
            </w:r>
          </w:p>
        </w:tc>
        <w:tc>
          <w:tcPr>
            <w:tcW w:w="6416" w:type="dxa"/>
            <w:hideMark/>
          </w:tcPr>
          <w:p w:rsidR="00AA1F9B" w:rsidRPr="00466C3F" w:rsidRDefault="00466C3F" w:rsidP="00466C3F">
            <w:pPr>
              <w:rPr>
                <w:color w:val="auto"/>
              </w:rPr>
            </w:pPr>
            <w:r w:rsidRPr="00466C3F">
              <w:rPr>
                <w:color w:val="auto"/>
              </w:rPr>
              <w:t>At SBP ≥150 mm Hg or DBP ≥90 mm Hg and treat to a goal SBP &lt;150 mm Hg and goal DBP &lt;90 mm Hg</w:t>
            </w:r>
          </w:p>
        </w:tc>
        <w:tc>
          <w:tcPr>
            <w:tcW w:w="1828" w:type="dxa"/>
            <w:hideMark/>
          </w:tcPr>
          <w:p w:rsidR="00AA1F9B" w:rsidRPr="00466C3F" w:rsidRDefault="00466C3F" w:rsidP="00466C3F">
            <w:pPr>
              <w:rPr>
                <w:color w:val="auto"/>
              </w:rPr>
            </w:pPr>
            <w:r w:rsidRPr="00466C3F">
              <w:rPr>
                <w:color w:val="auto"/>
              </w:rPr>
              <w:t>Strong  Grade A</w:t>
            </w:r>
          </w:p>
        </w:tc>
      </w:tr>
      <w:tr w:rsidR="00466C3F" w:rsidRPr="00466C3F" w:rsidTr="00466C3F">
        <w:trPr>
          <w:cnfStyle w:val="000000100000" w:firstRow="0" w:lastRow="0" w:firstColumn="0" w:lastColumn="0" w:oddVBand="0" w:evenVBand="0" w:oddHBand="1" w:evenHBand="0" w:firstRowFirstColumn="0" w:firstRowLastColumn="0" w:lastRowFirstColumn="0" w:lastRowLastColumn="0"/>
          <w:trHeight w:val="916"/>
        </w:trPr>
        <w:tc>
          <w:tcPr>
            <w:tcW w:w="1980" w:type="dxa"/>
            <w:hideMark/>
          </w:tcPr>
          <w:p w:rsidR="00AA1F9B" w:rsidRPr="00466C3F" w:rsidRDefault="00466C3F" w:rsidP="00466C3F">
            <w:pPr>
              <w:rPr>
                <w:color w:val="auto"/>
              </w:rPr>
            </w:pPr>
            <w:r w:rsidRPr="00466C3F">
              <w:rPr>
                <w:color w:val="auto"/>
              </w:rPr>
              <w:t>General population &lt;60 years</w:t>
            </w:r>
          </w:p>
        </w:tc>
        <w:tc>
          <w:tcPr>
            <w:tcW w:w="6416" w:type="dxa"/>
            <w:hideMark/>
          </w:tcPr>
          <w:p w:rsidR="00AA1F9B" w:rsidRPr="00466C3F" w:rsidRDefault="00466C3F" w:rsidP="00466C3F">
            <w:pPr>
              <w:rPr>
                <w:color w:val="auto"/>
              </w:rPr>
            </w:pPr>
            <w:r w:rsidRPr="00466C3F">
              <w:rPr>
                <w:color w:val="auto"/>
              </w:rPr>
              <w:t>At DBP ≥90 mm Hg and treat to a goal DBP &lt;90 mm Hg. (For ages 30-59 years, Strong Recommendation – Grade A; For ages 18-29 years, Expert Opinion – Grade E)</w:t>
            </w:r>
          </w:p>
        </w:tc>
        <w:tc>
          <w:tcPr>
            <w:tcW w:w="1828" w:type="dxa"/>
            <w:hideMark/>
          </w:tcPr>
          <w:p w:rsidR="00AA1F9B" w:rsidRPr="00466C3F" w:rsidRDefault="00466C3F" w:rsidP="00466C3F">
            <w:pPr>
              <w:rPr>
                <w:color w:val="auto"/>
              </w:rPr>
            </w:pPr>
            <w:r w:rsidRPr="00466C3F">
              <w:rPr>
                <w:color w:val="auto"/>
              </w:rPr>
              <w:t>Grade A / E</w:t>
            </w:r>
          </w:p>
        </w:tc>
      </w:tr>
      <w:tr w:rsidR="00466C3F" w:rsidRPr="00466C3F" w:rsidTr="009E26B1">
        <w:trPr>
          <w:trHeight w:val="648"/>
        </w:trPr>
        <w:tc>
          <w:tcPr>
            <w:tcW w:w="1980" w:type="dxa"/>
            <w:hideMark/>
          </w:tcPr>
          <w:p w:rsidR="00AA1F9B" w:rsidRPr="00466C3F" w:rsidRDefault="00466C3F" w:rsidP="00466C3F">
            <w:pPr>
              <w:rPr>
                <w:color w:val="auto"/>
              </w:rPr>
            </w:pPr>
            <w:r w:rsidRPr="00466C3F">
              <w:rPr>
                <w:color w:val="auto"/>
              </w:rPr>
              <w:t>General population &lt;60 years</w:t>
            </w:r>
          </w:p>
        </w:tc>
        <w:tc>
          <w:tcPr>
            <w:tcW w:w="6416" w:type="dxa"/>
            <w:hideMark/>
          </w:tcPr>
          <w:p w:rsidR="00AA1F9B" w:rsidRPr="00466C3F" w:rsidRDefault="00466C3F" w:rsidP="00466C3F">
            <w:pPr>
              <w:rPr>
                <w:color w:val="auto"/>
              </w:rPr>
            </w:pPr>
            <w:r w:rsidRPr="00466C3F">
              <w:rPr>
                <w:color w:val="auto"/>
              </w:rPr>
              <w:t xml:space="preserve">At SBP ≥140 mm Hg and treat to a goal SBP &lt;140 mm Hg. </w:t>
            </w:r>
          </w:p>
        </w:tc>
        <w:tc>
          <w:tcPr>
            <w:tcW w:w="1828" w:type="dxa"/>
            <w:hideMark/>
          </w:tcPr>
          <w:p w:rsidR="00AA1F9B" w:rsidRPr="00466C3F" w:rsidRDefault="00466C3F" w:rsidP="00466C3F">
            <w:pPr>
              <w:rPr>
                <w:color w:val="auto"/>
              </w:rPr>
            </w:pPr>
            <w:r w:rsidRPr="00466C3F">
              <w:rPr>
                <w:color w:val="auto"/>
              </w:rPr>
              <w:t>Expert Opinion  Grade E</w:t>
            </w:r>
          </w:p>
        </w:tc>
      </w:tr>
      <w:tr w:rsidR="00466C3F" w:rsidRPr="00466C3F" w:rsidTr="00466C3F">
        <w:trPr>
          <w:cnfStyle w:val="000000100000" w:firstRow="0" w:lastRow="0" w:firstColumn="0" w:lastColumn="0" w:oddVBand="0" w:evenVBand="0" w:oddHBand="1" w:evenHBand="0" w:firstRowFirstColumn="0" w:firstRowLastColumn="0" w:lastRowFirstColumn="0" w:lastRowLastColumn="0"/>
          <w:trHeight w:val="952"/>
        </w:trPr>
        <w:tc>
          <w:tcPr>
            <w:tcW w:w="1980" w:type="dxa"/>
            <w:hideMark/>
          </w:tcPr>
          <w:p w:rsidR="00AA1F9B" w:rsidRPr="00466C3F" w:rsidRDefault="00466C3F" w:rsidP="00466C3F">
            <w:pPr>
              <w:rPr>
                <w:color w:val="auto"/>
              </w:rPr>
            </w:pPr>
            <w:r w:rsidRPr="00466C3F">
              <w:rPr>
                <w:color w:val="auto"/>
              </w:rPr>
              <w:t xml:space="preserve">≥18 years with chronic kidney disease </w:t>
            </w:r>
          </w:p>
        </w:tc>
        <w:tc>
          <w:tcPr>
            <w:tcW w:w="6416" w:type="dxa"/>
            <w:hideMark/>
          </w:tcPr>
          <w:p w:rsidR="00AA1F9B" w:rsidRPr="00466C3F" w:rsidRDefault="00466C3F" w:rsidP="00466C3F">
            <w:pPr>
              <w:rPr>
                <w:color w:val="auto"/>
              </w:rPr>
            </w:pPr>
            <w:r w:rsidRPr="00466C3F">
              <w:rPr>
                <w:color w:val="auto"/>
              </w:rPr>
              <w:t xml:space="preserve">At SBP ≥140 mm Hg or DBP ≥90 mm Hg and treat to goal SBP &lt;140 mm Hg and goal DBP &lt;90 mm Hg. </w:t>
            </w:r>
          </w:p>
        </w:tc>
        <w:tc>
          <w:tcPr>
            <w:tcW w:w="1828" w:type="dxa"/>
            <w:hideMark/>
          </w:tcPr>
          <w:p w:rsidR="00AA1F9B" w:rsidRPr="00466C3F" w:rsidRDefault="00466C3F" w:rsidP="00466C3F">
            <w:pPr>
              <w:rPr>
                <w:color w:val="auto"/>
              </w:rPr>
            </w:pPr>
            <w:r w:rsidRPr="00466C3F">
              <w:rPr>
                <w:color w:val="auto"/>
              </w:rPr>
              <w:t>Expert Opinion  Grade E</w:t>
            </w:r>
          </w:p>
        </w:tc>
      </w:tr>
      <w:tr w:rsidR="00466C3F" w:rsidRPr="00466C3F" w:rsidTr="00466C3F">
        <w:trPr>
          <w:trHeight w:val="646"/>
        </w:trPr>
        <w:tc>
          <w:tcPr>
            <w:tcW w:w="1980" w:type="dxa"/>
            <w:hideMark/>
          </w:tcPr>
          <w:p w:rsidR="00AA1F9B" w:rsidRPr="00466C3F" w:rsidRDefault="00466C3F" w:rsidP="00466C3F">
            <w:pPr>
              <w:rPr>
                <w:color w:val="auto"/>
              </w:rPr>
            </w:pPr>
            <w:r w:rsidRPr="00466C3F">
              <w:rPr>
                <w:color w:val="auto"/>
              </w:rPr>
              <w:t>≥18 years with diabetes</w:t>
            </w:r>
          </w:p>
        </w:tc>
        <w:tc>
          <w:tcPr>
            <w:tcW w:w="6416" w:type="dxa"/>
            <w:hideMark/>
          </w:tcPr>
          <w:p w:rsidR="00AA1F9B" w:rsidRPr="00466C3F" w:rsidRDefault="00466C3F" w:rsidP="00466C3F">
            <w:pPr>
              <w:rPr>
                <w:color w:val="auto"/>
              </w:rPr>
            </w:pPr>
            <w:r w:rsidRPr="00466C3F">
              <w:rPr>
                <w:color w:val="auto"/>
              </w:rPr>
              <w:t xml:space="preserve">At SBP ≥140 mm Hg or DBP ≥90 mm Hg and treat to a goal SBP &lt;140 mm Hg and goal DBP &lt;90 mm Hg. </w:t>
            </w:r>
          </w:p>
        </w:tc>
        <w:tc>
          <w:tcPr>
            <w:tcW w:w="1828" w:type="dxa"/>
            <w:hideMark/>
          </w:tcPr>
          <w:p w:rsidR="00AA1F9B" w:rsidRPr="00466C3F" w:rsidRDefault="00466C3F" w:rsidP="00466C3F">
            <w:pPr>
              <w:rPr>
                <w:color w:val="auto"/>
              </w:rPr>
            </w:pPr>
            <w:r w:rsidRPr="00466C3F">
              <w:rPr>
                <w:color w:val="auto"/>
              </w:rPr>
              <w:t>Expert Opinion  Grade E</w:t>
            </w:r>
          </w:p>
        </w:tc>
      </w:tr>
      <w:tr w:rsidR="00466C3F" w:rsidRPr="00466C3F" w:rsidTr="00466C3F">
        <w:trPr>
          <w:cnfStyle w:val="000000100000" w:firstRow="0" w:lastRow="0" w:firstColumn="0" w:lastColumn="0" w:oddVBand="0" w:evenVBand="0" w:oddHBand="1" w:evenHBand="0" w:firstRowFirstColumn="0" w:firstRowLastColumn="0" w:lastRowFirstColumn="0" w:lastRowLastColumn="0"/>
          <w:trHeight w:val="315"/>
        </w:trPr>
        <w:tc>
          <w:tcPr>
            <w:tcW w:w="10224" w:type="dxa"/>
            <w:gridSpan w:val="3"/>
          </w:tcPr>
          <w:p w:rsidR="00466C3F" w:rsidRPr="00466C3F" w:rsidRDefault="00466C3F" w:rsidP="00466C3F">
            <w:pPr>
              <w:jc w:val="center"/>
              <w:rPr>
                <w:b/>
                <w:color w:val="auto"/>
              </w:rPr>
            </w:pPr>
            <w:r w:rsidRPr="00466C3F">
              <w:rPr>
                <w:b/>
                <w:color w:val="auto"/>
              </w:rPr>
              <w:t>Recommendations 6-8</w:t>
            </w:r>
          </w:p>
        </w:tc>
      </w:tr>
      <w:tr w:rsidR="00466C3F" w:rsidRPr="00466C3F" w:rsidTr="00466C3F">
        <w:trPr>
          <w:trHeight w:val="646"/>
        </w:trPr>
        <w:tc>
          <w:tcPr>
            <w:tcW w:w="1980" w:type="dxa"/>
            <w:hideMark/>
          </w:tcPr>
          <w:p w:rsidR="00466C3F" w:rsidRPr="00466C3F" w:rsidRDefault="00466C3F" w:rsidP="00466C3F">
            <w:pPr>
              <w:rPr>
                <w:color w:val="auto"/>
              </w:rPr>
            </w:pPr>
            <w:r w:rsidRPr="00466C3F">
              <w:rPr>
                <w:color w:val="auto"/>
              </w:rPr>
              <w:t>Population</w:t>
            </w:r>
          </w:p>
        </w:tc>
        <w:tc>
          <w:tcPr>
            <w:tcW w:w="6416" w:type="dxa"/>
            <w:hideMark/>
          </w:tcPr>
          <w:p w:rsidR="00466C3F" w:rsidRPr="00466C3F" w:rsidRDefault="00466C3F" w:rsidP="00466C3F">
            <w:pPr>
              <w:rPr>
                <w:color w:val="auto"/>
              </w:rPr>
            </w:pPr>
            <w:r w:rsidRPr="00466C3F">
              <w:rPr>
                <w:color w:val="auto"/>
              </w:rPr>
              <w:t xml:space="preserve">Class of initial antihypertensive treatment: </w:t>
            </w:r>
          </w:p>
        </w:tc>
        <w:tc>
          <w:tcPr>
            <w:tcW w:w="1828" w:type="dxa"/>
            <w:hideMark/>
          </w:tcPr>
          <w:p w:rsidR="00466C3F" w:rsidRPr="00466C3F" w:rsidRDefault="00466C3F" w:rsidP="00466C3F">
            <w:pPr>
              <w:rPr>
                <w:color w:val="auto"/>
              </w:rPr>
            </w:pPr>
          </w:p>
        </w:tc>
      </w:tr>
      <w:tr w:rsidR="00466C3F" w:rsidRPr="00466C3F" w:rsidTr="00466C3F">
        <w:trPr>
          <w:cnfStyle w:val="000000100000" w:firstRow="0" w:lastRow="0" w:firstColumn="0" w:lastColumn="0" w:oddVBand="0" w:evenVBand="0" w:oddHBand="1" w:evenHBand="0" w:firstRowFirstColumn="0" w:firstRowLastColumn="0" w:lastRowFirstColumn="0" w:lastRowLastColumn="0"/>
          <w:trHeight w:val="646"/>
        </w:trPr>
        <w:tc>
          <w:tcPr>
            <w:tcW w:w="1980" w:type="dxa"/>
            <w:hideMark/>
          </w:tcPr>
          <w:p w:rsidR="00466C3F" w:rsidRPr="00466C3F" w:rsidRDefault="00466C3F" w:rsidP="00466C3F">
            <w:pPr>
              <w:rPr>
                <w:color w:val="auto"/>
              </w:rPr>
            </w:pPr>
            <w:r w:rsidRPr="00466C3F">
              <w:rPr>
                <w:color w:val="auto"/>
              </w:rPr>
              <w:t xml:space="preserve">Non-black population, including those with diabetes </w:t>
            </w:r>
          </w:p>
        </w:tc>
        <w:tc>
          <w:tcPr>
            <w:tcW w:w="6416" w:type="dxa"/>
            <w:hideMark/>
          </w:tcPr>
          <w:p w:rsidR="00466C3F" w:rsidRPr="00466C3F" w:rsidRDefault="00466C3F" w:rsidP="00466C3F">
            <w:pPr>
              <w:rPr>
                <w:color w:val="auto"/>
              </w:rPr>
            </w:pPr>
            <w:r w:rsidRPr="00466C3F">
              <w:rPr>
                <w:color w:val="auto"/>
              </w:rPr>
              <w:t xml:space="preserve">Should include a thiazide-type diuretic, calcium channel blocker (CCB), angiotensin-converting enzyme inhibitor (ACEI), or angiotensin receptor blocker (ARB). </w:t>
            </w:r>
          </w:p>
        </w:tc>
        <w:tc>
          <w:tcPr>
            <w:tcW w:w="1828" w:type="dxa"/>
            <w:hideMark/>
          </w:tcPr>
          <w:p w:rsidR="00466C3F" w:rsidRPr="00466C3F" w:rsidRDefault="00466C3F" w:rsidP="00466C3F">
            <w:pPr>
              <w:rPr>
                <w:color w:val="auto"/>
              </w:rPr>
            </w:pPr>
            <w:r w:rsidRPr="00466C3F">
              <w:rPr>
                <w:color w:val="auto"/>
              </w:rPr>
              <w:t>Moderate Grade B</w:t>
            </w:r>
          </w:p>
        </w:tc>
      </w:tr>
      <w:tr w:rsidR="00466C3F" w:rsidRPr="00466C3F" w:rsidTr="00466C3F">
        <w:trPr>
          <w:trHeight w:val="646"/>
        </w:trPr>
        <w:tc>
          <w:tcPr>
            <w:tcW w:w="1980" w:type="dxa"/>
            <w:hideMark/>
          </w:tcPr>
          <w:p w:rsidR="00466C3F" w:rsidRPr="00466C3F" w:rsidRDefault="00466C3F" w:rsidP="00466C3F">
            <w:pPr>
              <w:rPr>
                <w:color w:val="auto"/>
              </w:rPr>
            </w:pPr>
            <w:r w:rsidRPr="00466C3F">
              <w:rPr>
                <w:color w:val="auto"/>
              </w:rPr>
              <w:t xml:space="preserve">Black population, including those with diabetes </w:t>
            </w:r>
          </w:p>
        </w:tc>
        <w:tc>
          <w:tcPr>
            <w:tcW w:w="6416" w:type="dxa"/>
            <w:hideMark/>
          </w:tcPr>
          <w:p w:rsidR="00466C3F" w:rsidRPr="00466C3F" w:rsidRDefault="00466C3F" w:rsidP="00466C3F">
            <w:pPr>
              <w:rPr>
                <w:color w:val="auto"/>
              </w:rPr>
            </w:pPr>
            <w:r w:rsidRPr="00466C3F">
              <w:rPr>
                <w:color w:val="auto"/>
              </w:rPr>
              <w:t>Should include a thiazide-type diuretic or CCB. (For general black population: Moderate Recommendation – Grade B; for black patients with diabetes: Weak Recommendation – Grade C)</w:t>
            </w:r>
          </w:p>
        </w:tc>
        <w:tc>
          <w:tcPr>
            <w:tcW w:w="1828" w:type="dxa"/>
            <w:hideMark/>
          </w:tcPr>
          <w:p w:rsidR="00466C3F" w:rsidRPr="00466C3F" w:rsidRDefault="00466C3F" w:rsidP="00466C3F">
            <w:pPr>
              <w:rPr>
                <w:color w:val="auto"/>
              </w:rPr>
            </w:pPr>
            <w:r w:rsidRPr="00466C3F">
              <w:rPr>
                <w:color w:val="auto"/>
              </w:rPr>
              <w:t xml:space="preserve">Varies </w:t>
            </w:r>
          </w:p>
        </w:tc>
      </w:tr>
      <w:tr w:rsidR="00466C3F" w:rsidRPr="00466C3F" w:rsidTr="00466C3F">
        <w:trPr>
          <w:cnfStyle w:val="000000100000" w:firstRow="0" w:lastRow="0" w:firstColumn="0" w:lastColumn="0" w:oddVBand="0" w:evenVBand="0" w:oddHBand="1" w:evenHBand="0" w:firstRowFirstColumn="0" w:firstRowLastColumn="0" w:lastRowFirstColumn="0" w:lastRowLastColumn="0"/>
          <w:trHeight w:val="646"/>
        </w:trPr>
        <w:tc>
          <w:tcPr>
            <w:tcW w:w="1980" w:type="dxa"/>
            <w:hideMark/>
          </w:tcPr>
          <w:p w:rsidR="00466C3F" w:rsidRPr="00466C3F" w:rsidRDefault="00466C3F" w:rsidP="00466C3F">
            <w:pPr>
              <w:rPr>
                <w:color w:val="auto"/>
              </w:rPr>
            </w:pPr>
            <w:r w:rsidRPr="00466C3F">
              <w:rPr>
                <w:color w:val="auto"/>
              </w:rPr>
              <w:t xml:space="preserve">≥18 years with chronic kidney disease </w:t>
            </w:r>
          </w:p>
        </w:tc>
        <w:tc>
          <w:tcPr>
            <w:tcW w:w="6416" w:type="dxa"/>
            <w:hideMark/>
          </w:tcPr>
          <w:p w:rsidR="00466C3F" w:rsidRPr="00466C3F" w:rsidRDefault="00466C3F" w:rsidP="00466C3F">
            <w:pPr>
              <w:rPr>
                <w:color w:val="auto"/>
              </w:rPr>
            </w:pPr>
            <w:r w:rsidRPr="00466C3F">
              <w:rPr>
                <w:color w:val="auto"/>
              </w:rPr>
              <w:t xml:space="preserve">Initial (or add-on) antihypertensive treatment should include an ACEI or ARB to improve kidney outcomes. This applies to all CKD patients with hypertension regardless of race or diabetes status. </w:t>
            </w:r>
          </w:p>
        </w:tc>
        <w:tc>
          <w:tcPr>
            <w:tcW w:w="1828" w:type="dxa"/>
            <w:hideMark/>
          </w:tcPr>
          <w:p w:rsidR="00466C3F" w:rsidRPr="00466C3F" w:rsidRDefault="00466C3F" w:rsidP="00466C3F">
            <w:pPr>
              <w:rPr>
                <w:color w:val="auto"/>
              </w:rPr>
            </w:pPr>
            <w:r w:rsidRPr="00466C3F">
              <w:rPr>
                <w:color w:val="auto"/>
              </w:rPr>
              <w:t xml:space="preserve">Moderate Grade B </w:t>
            </w:r>
          </w:p>
        </w:tc>
      </w:tr>
      <w:tr w:rsidR="00466C3F" w:rsidRPr="00466C3F" w:rsidTr="004E5DEC">
        <w:trPr>
          <w:trHeight w:val="387"/>
        </w:trPr>
        <w:tc>
          <w:tcPr>
            <w:tcW w:w="10224" w:type="dxa"/>
            <w:gridSpan w:val="3"/>
          </w:tcPr>
          <w:p w:rsidR="00466C3F" w:rsidRPr="00466C3F" w:rsidRDefault="00466C3F" w:rsidP="00466C3F">
            <w:pPr>
              <w:jc w:val="center"/>
              <w:rPr>
                <w:color w:val="auto"/>
              </w:rPr>
            </w:pPr>
            <w:r w:rsidRPr="00466C3F">
              <w:rPr>
                <w:b/>
                <w:color w:val="auto"/>
              </w:rPr>
              <w:t>Recommendation 9</w:t>
            </w:r>
          </w:p>
        </w:tc>
      </w:tr>
      <w:tr w:rsidR="00466C3F" w:rsidRPr="00466C3F" w:rsidTr="004E5DEC">
        <w:trPr>
          <w:cnfStyle w:val="000000100000" w:firstRow="0" w:lastRow="0" w:firstColumn="0" w:lastColumn="0" w:oddVBand="0" w:evenVBand="0" w:oddHBand="1" w:evenHBand="0" w:firstRowFirstColumn="0" w:firstRowLastColumn="0" w:lastRowFirstColumn="0" w:lastRowLastColumn="0"/>
          <w:trHeight w:val="646"/>
        </w:trPr>
        <w:tc>
          <w:tcPr>
            <w:tcW w:w="8396" w:type="dxa"/>
            <w:gridSpan w:val="2"/>
          </w:tcPr>
          <w:p w:rsidR="00466C3F" w:rsidRPr="00466C3F" w:rsidRDefault="00466C3F" w:rsidP="00466C3F">
            <w:pPr>
              <w:rPr>
                <w:color w:val="auto"/>
              </w:rPr>
            </w:pPr>
            <w:r w:rsidRPr="00466C3F">
              <w:rPr>
                <w:b/>
                <w:bCs/>
                <w:color w:val="auto"/>
              </w:rPr>
              <w:t>The main objective of hypertension treatment is to attain and maintain goal BP</w:t>
            </w:r>
            <w:r w:rsidRPr="00466C3F">
              <w:rPr>
                <w:color w:val="auto"/>
              </w:rPr>
              <w:t xml:space="preserve">. If goal BP is not reached </w:t>
            </w:r>
            <w:r w:rsidRPr="00466C3F">
              <w:rPr>
                <w:b/>
                <w:bCs/>
                <w:color w:val="auto"/>
                <w:u w:val="single"/>
              </w:rPr>
              <w:t xml:space="preserve">within a month </w:t>
            </w:r>
            <w:r w:rsidRPr="00466C3F">
              <w:rPr>
                <w:color w:val="auto"/>
              </w:rPr>
              <w:t xml:space="preserve">of treatment, increase the dose of the initial drug or add a second drug from one of the classes in recommendation 6 (thiazide-type diuretic, CCB, ACEI, or ARB). The clinician should continue to assess BP and adjust the treatment regimen until goal BP is reached. If goal BP cannot be reached with 2 drugs, add and titrate a third drug from the list provided. Do not use an ACEI and an ARB together in the same patient. If goal BP cannot be reached using only the drugs in recommendation 6 because of a contraindication or the need to use more than 3 drugs to reach goal BP, antihypertensive drugs from other classes can be used. Referral to a hypertension specialist may be indicated for patients in whom goal BP cannot be attained using the above strategy or for the management of complicated patients for whom additional clinical consultation is needed. </w:t>
            </w:r>
          </w:p>
          <w:p w:rsidR="00466C3F" w:rsidRPr="00466C3F" w:rsidRDefault="00466C3F" w:rsidP="00466C3F">
            <w:pPr>
              <w:rPr>
                <w:color w:val="auto"/>
              </w:rPr>
            </w:pPr>
          </w:p>
        </w:tc>
        <w:tc>
          <w:tcPr>
            <w:tcW w:w="1828" w:type="dxa"/>
          </w:tcPr>
          <w:p w:rsidR="00466C3F" w:rsidRPr="00466C3F" w:rsidRDefault="00466C3F" w:rsidP="00466C3F">
            <w:pPr>
              <w:rPr>
                <w:color w:val="auto"/>
              </w:rPr>
            </w:pPr>
            <w:r w:rsidRPr="00466C3F">
              <w:rPr>
                <w:color w:val="auto"/>
              </w:rPr>
              <w:t>Expert Opinion  Grade E</w:t>
            </w:r>
          </w:p>
          <w:p w:rsidR="00466C3F" w:rsidRPr="00466C3F" w:rsidRDefault="00466C3F" w:rsidP="00466C3F">
            <w:pPr>
              <w:rPr>
                <w:color w:val="auto"/>
              </w:rPr>
            </w:pPr>
          </w:p>
        </w:tc>
      </w:tr>
      <w:tr w:rsidR="007D5682" w:rsidRPr="00466C3F" w:rsidTr="007D5682">
        <w:trPr>
          <w:trHeight w:val="396"/>
        </w:trPr>
        <w:tc>
          <w:tcPr>
            <w:tcW w:w="8396" w:type="dxa"/>
            <w:gridSpan w:val="2"/>
          </w:tcPr>
          <w:p w:rsidR="007D5682" w:rsidRPr="007D5682" w:rsidRDefault="007D5682" w:rsidP="00466C3F">
            <w:pPr>
              <w:rPr>
                <w:bCs/>
                <w:color w:val="auto"/>
              </w:rPr>
            </w:pPr>
            <w:r w:rsidRPr="007D5682">
              <w:rPr>
                <w:bCs/>
                <w:color w:val="auto"/>
              </w:rPr>
              <w:t>JAMA. 2013. doi:10.1001/jama.2013.284427</w:t>
            </w:r>
          </w:p>
        </w:tc>
        <w:tc>
          <w:tcPr>
            <w:tcW w:w="1828" w:type="dxa"/>
          </w:tcPr>
          <w:p w:rsidR="007D5682" w:rsidRPr="00466C3F" w:rsidRDefault="007D5682" w:rsidP="00466C3F"/>
        </w:tc>
      </w:tr>
    </w:tbl>
    <w:p w:rsidR="00466C3F" w:rsidRPr="00466C3F" w:rsidRDefault="00466C3F">
      <w:r w:rsidRPr="00466C3F">
        <w:br w:type="page"/>
      </w:r>
    </w:p>
    <w:p w:rsidR="00E47A80" w:rsidRPr="009E26B1" w:rsidRDefault="009E26B1" w:rsidP="00E47A80">
      <w:pPr>
        <w:rPr>
          <w:b/>
        </w:rPr>
      </w:pPr>
      <w:r>
        <w:rPr>
          <w:b/>
        </w:rPr>
        <w:lastRenderedPageBreak/>
        <w:t>Appendix 3</w:t>
      </w:r>
      <w:r w:rsidR="000725E4" w:rsidRPr="009E26B1">
        <w:rPr>
          <w:b/>
        </w:rPr>
        <w:t>: 2014 Hypertension Guideline Management Algorithm</w:t>
      </w:r>
    </w:p>
    <w:p w:rsidR="000725E4" w:rsidRPr="00466C3F" w:rsidRDefault="000725E4" w:rsidP="00E47A80">
      <w:r w:rsidRPr="00466C3F">
        <w:rPr>
          <w:noProof/>
        </w:rPr>
        <w:drawing>
          <wp:inline distT="0" distB="0" distL="0" distR="0" wp14:anchorId="410C6DDE" wp14:editId="14DFA9C7">
            <wp:extent cx="5958183" cy="6694714"/>
            <wp:effectExtent l="0" t="0" r="5080" b="0"/>
            <wp:docPr id="10242" name="Picture 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3" descr="C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220" cy="6699250"/>
                    </a:xfrm>
                    <a:prstGeom prst="rect">
                      <a:avLst/>
                    </a:prstGeom>
                    <a:noFill/>
                    <a:ln>
                      <a:noFill/>
                    </a:ln>
                    <a:extLst/>
                  </pic:spPr>
                </pic:pic>
              </a:graphicData>
            </a:graphic>
          </wp:inline>
        </w:drawing>
      </w:r>
    </w:p>
    <w:p w:rsidR="000725E4" w:rsidRPr="00466C3F" w:rsidRDefault="000725E4" w:rsidP="000725E4"/>
    <w:p w:rsidR="000725E4" w:rsidRPr="00466C3F" w:rsidRDefault="000725E4" w:rsidP="000725E4">
      <w:r w:rsidRPr="00466C3F">
        <w:t>JAMA. 2013 doi:10.1001/jama.2013.284427</w:t>
      </w:r>
    </w:p>
    <w:p w:rsidR="007E5F86" w:rsidRDefault="007E5F86">
      <w:r>
        <w:br w:type="page"/>
      </w:r>
    </w:p>
    <w:p w:rsidR="0059515F" w:rsidRDefault="0059515F" w:rsidP="0059515F">
      <w:r>
        <w:lastRenderedPageBreak/>
        <w:t>References</w:t>
      </w:r>
    </w:p>
    <w:p w:rsidR="007E5F86" w:rsidRDefault="00AA6D56" w:rsidP="0059515F">
      <w:pPr>
        <w:pStyle w:val="ListParagraph"/>
        <w:numPr>
          <w:ilvl w:val="0"/>
          <w:numId w:val="5"/>
        </w:numPr>
      </w:pPr>
      <w:r w:rsidRPr="00AA6D56">
        <w:t>James</w:t>
      </w:r>
      <w:r>
        <w:t xml:space="preserve"> PA</w:t>
      </w:r>
      <w:r w:rsidRPr="00AA6D56">
        <w:t xml:space="preserve">, </w:t>
      </w:r>
      <w:proofErr w:type="spellStart"/>
      <w:r w:rsidRPr="00AA6D56">
        <w:t>Oparil</w:t>
      </w:r>
      <w:proofErr w:type="spellEnd"/>
      <w:r>
        <w:t xml:space="preserve"> S</w:t>
      </w:r>
      <w:r w:rsidRPr="00AA6D56">
        <w:t>, Carter</w:t>
      </w:r>
      <w:r>
        <w:t xml:space="preserve"> BL</w:t>
      </w:r>
      <w:r w:rsidRPr="00AA6D56">
        <w:t>,</w:t>
      </w:r>
      <w:r>
        <w:t xml:space="preserve"> et al. </w:t>
      </w:r>
      <w:r w:rsidRPr="00AA6D56">
        <w:t>The 2014 Evidence-Based Guideline for the Management of High Blood Pressure in Adults:  Report From the Panel Members Appointed to the Eighth J</w:t>
      </w:r>
      <w:r>
        <w:t>oint National Committee (JNC 8)</w:t>
      </w:r>
      <w:r w:rsidRPr="00AA6D56">
        <w:t>.  JAMA. 2013. doi:10.1001/jama.2013.284427</w:t>
      </w:r>
      <w:r>
        <w:t>.</w:t>
      </w:r>
    </w:p>
    <w:p w:rsidR="009A1AAE" w:rsidRDefault="009A1AAE" w:rsidP="009A1AAE">
      <w:pPr>
        <w:pStyle w:val="ListParagraph"/>
        <w:numPr>
          <w:ilvl w:val="0"/>
          <w:numId w:val="5"/>
        </w:numPr>
      </w:pPr>
      <w:r w:rsidRPr="009A1AAE">
        <w:t xml:space="preserve">Peterson ED, </w:t>
      </w:r>
      <w:proofErr w:type="spellStart"/>
      <w:r w:rsidRPr="009A1AAE">
        <w:t>Gaziano</w:t>
      </w:r>
      <w:proofErr w:type="spellEnd"/>
      <w:r w:rsidRPr="009A1AAE">
        <w:t xml:space="preserve"> J, Greenland P. Recommendations for Treating Hypertension: What Are the Right Goals and Purposes?. JAMA. 2014;311(5):474-476. doi:10.1001/jama.2013.284430.</w:t>
      </w:r>
    </w:p>
    <w:p w:rsidR="00C1294B" w:rsidRDefault="00C1294B" w:rsidP="0059515F">
      <w:pPr>
        <w:pStyle w:val="ListParagraph"/>
        <w:numPr>
          <w:ilvl w:val="0"/>
          <w:numId w:val="5"/>
        </w:numPr>
      </w:pPr>
      <w:r>
        <w:t>Wright JT</w:t>
      </w:r>
      <w:r w:rsidRPr="00C1294B">
        <w:t>, Fine</w:t>
      </w:r>
      <w:r>
        <w:t xml:space="preserve"> LJ</w:t>
      </w:r>
      <w:r w:rsidRPr="00C1294B">
        <w:t>, Lackland</w:t>
      </w:r>
      <w:r>
        <w:t xml:space="preserve"> DT</w:t>
      </w:r>
      <w:r w:rsidRPr="00C1294B">
        <w:t xml:space="preserve">, </w:t>
      </w:r>
      <w:r>
        <w:t xml:space="preserve">et al. </w:t>
      </w:r>
      <w:r w:rsidRPr="00C1294B">
        <w:t>Evidence Supporting a Systolic Blood Pressure Goal of Less Than 150 mm Hg in Patients Aged 60 Years or Older: The Minority View</w:t>
      </w:r>
      <w:r>
        <w:t xml:space="preserve">.  Archives of Internal Medicine.  </w:t>
      </w:r>
      <w:r w:rsidR="0059515F" w:rsidRPr="0059515F">
        <w:t>Published online 14 January 2014 doi:10.7326/M13-2981</w:t>
      </w:r>
      <w:r w:rsidR="0059515F">
        <w:t xml:space="preserve">.  </w:t>
      </w:r>
    </w:p>
    <w:p w:rsidR="007E5F86" w:rsidRDefault="007E5F86" w:rsidP="0059515F">
      <w:pPr>
        <w:pStyle w:val="ListParagraph"/>
        <w:numPr>
          <w:ilvl w:val="0"/>
          <w:numId w:val="5"/>
        </w:numPr>
      </w:pPr>
      <w:proofErr w:type="spellStart"/>
      <w:r>
        <w:t>Mancia</w:t>
      </w:r>
      <w:proofErr w:type="spellEnd"/>
      <w:r>
        <w:t xml:space="preserve"> G, </w:t>
      </w:r>
      <w:proofErr w:type="spellStart"/>
      <w:r>
        <w:t>Fagard</w:t>
      </w:r>
      <w:proofErr w:type="spellEnd"/>
      <w:r>
        <w:t xml:space="preserve"> R, </w:t>
      </w:r>
      <w:proofErr w:type="spellStart"/>
      <w:r>
        <w:t>Narkiewicz</w:t>
      </w:r>
      <w:proofErr w:type="spellEnd"/>
      <w:r>
        <w:t xml:space="preserve"> K, et al; Task Force Members. 2013 ESH/ESC Guidelines for the management of arterial hypertension: the Task Force for the management of arterial hypertension of the European Society of Hypertension (ESH) and of the European Society of Cardiology (ESC). J </w:t>
      </w:r>
      <w:proofErr w:type="spellStart"/>
      <w:r>
        <w:t>Hypertens</w:t>
      </w:r>
      <w:proofErr w:type="spellEnd"/>
      <w:r>
        <w:t>. 2013;31:1281-357. [PMID: 23817082]</w:t>
      </w:r>
    </w:p>
    <w:p w:rsidR="007E5F86" w:rsidRDefault="007E5F86" w:rsidP="0059515F">
      <w:pPr>
        <w:pStyle w:val="ListParagraph"/>
        <w:numPr>
          <w:ilvl w:val="0"/>
          <w:numId w:val="5"/>
        </w:numPr>
      </w:pPr>
      <w:r>
        <w:t>Canadian Hypertension Education Program. 2013 Canadian Hypertension Education Program (CHEP) Recommendations. Markham, Ontario, Canada: Hypertension Canada; 2012. Accessed at www.hypertension.ca/chep-recommendations on 31 December 2013.</w:t>
      </w:r>
    </w:p>
    <w:p w:rsidR="007E5F86" w:rsidRDefault="007E5F86" w:rsidP="0059515F">
      <w:pPr>
        <w:pStyle w:val="ListParagraph"/>
        <w:numPr>
          <w:ilvl w:val="0"/>
          <w:numId w:val="5"/>
        </w:numPr>
      </w:pPr>
      <w:r>
        <w:t>National Institute for Health and Clinical Excellence. Hypertension: clinical management of primary hypertension in adults. Clinical guidelines: methods, evidence and recommendations. London: National Institute for Health and Clinical Excellence; 2011.</w:t>
      </w:r>
    </w:p>
    <w:p w:rsidR="007E5F86" w:rsidRDefault="007E5F86" w:rsidP="0059515F">
      <w:pPr>
        <w:pStyle w:val="ListParagraph"/>
        <w:numPr>
          <w:ilvl w:val="0"/>
          <w:numId w:val="5"/>
        </w:numPr>
      </w:pPr>
      <w:proofErr w:type="spellStart"/>
      <w:r>
        <w:t>Aronow</w:t>
      </w:r>
      <w:proofErr w:type="spellEnd"/>
      <w:r>
        <w:t xml:space="preserve"> WS, </w:t>
      </w:r>
      <w:proofErr w:type="spellStart"/>
      <w:r>
        <w:t>Fleg</w:t>
      </w:r>
      <w:proofErr w:type="spellEnd"/>
      <w:r>
        <w:t xml:space="preserve"> JL, </w:t>
      </w:r>
      <w:proofErr w:type="spellStart"/>
      <w:r>
        <w:t>Pepine</w:t>
      </w:r>
      <w:proofErr w:type="spellEnd"/>
      <w:r>
        <w:t xml:space="preserve"> CJ, et al. ACCF/AHA 2011 expert consensus document on hypertension in the elderly: a report of the American College of Cardiology Foundation Task Force on Clinical Expert Consensus documents developed in collaboration with the American Academy of Neurology, American Geriatrics Society, American Society for Preventive Cardiology, American Society of Hypertension, American Society of Nephrology, Association of Black Cardiologists, and European Society of Hypertension. J Am </w:t>
      </w:r>
      <w:proofErr w:type="spellStart"/>
      <w:r>
        <w:t>Coll</w:t>
      </w:r>
      <w:proofErr w:type="spellEnd"/>
      <w:r>
        <w:t xml:space="preserve"> </w:t>
      </w:r>
      <w:proofErr w:type="spellStart"/>
      <w:r>
        <w:t>Cardiol</w:t>
      </w:r>
      <w:proofErr w:type="spellEnd"/>
      <w:r>
        <w:t>. 2011;57:2037-114. [PMID: 21524875]</w:t>
      </w:r>
    </w:p>
    <w:p w:rsidR="000725E4" w:rsidRPr="00466C3F" w:rsidRDefault="007E5F86" w:rsidP="0059515F">
      <w:pPr>
        <w:pStyle w:val="ListParagraph"/>
        <w:numPr>
          <w:ilvl w:val="0"/>
          <w:numId w:val="5"/>
        </w:numPr>
      </w:pPr>
      <w:r>
        <w:t xml:space="preserve">Weber MA, </w:t>
      </w:r>
      <w:proofErr w:type="spellStart"/>
      <w:r>
        <w:t>Schiffrin</w:t>
      </w:r>
      <w:proofErr w:type="spellEnd"/>
      <w:r>
        <w:t xml:space="preserve"> EL, White WB, et al. Clinical Practice Guidelines for the Management of Hypertension in the Community: A Statement by the American Society of Hypertension and the International Society of Hypertension. J </w:t>
      </w:r>
      <w:proofErr w:type="spellStart"/>
      <w:r>
        <w:t>Clin</w:t>
      </w:r>
      <w:proofErr w:type="spellEnd"/>
      <w:r>
        <w:t xml:space="preserve"> </w:t>
      </w:r>
      <w:proofErr w:type="spellStart"/>
      <w:r>
        <w:t>Hypertens</w:t>
      </w:r>
      <w:proofErr w:type="spellEnd"/>
      <w:r>
        <w:t xml:space="preserve"> (Greenwich). 2013. [PMID: 24341872]</w:t>
      </w:r>
    </w:p>
    <w:sectPr w:rsidR="000725E4" w:rsidRPr="00466C3F" w:rsidSect="003F39ED">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A"/>
    <w:multiLevelType w:val="hybridMultilevel"/>
    <w:tmpl w:val="C32E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A37B4"/>
    <w:multiLevelType w:val="hybridMultilevel"/>
    <w:tmpl w:val="426C78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99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D0FB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nsid w:val="356A562C"/>
    <w:multiLevelType w:val="hybridMultilevel"/>
    <w:tmpl w:val="5B183D9C"/>
    <w:lvl w:ilvl="0" w:tplc="0409000F">
      <w:start w:val="1"/>
      <w:numFmt w:val="decimal"/>
      <w:lvlText w:val="%1."/>
      <w:lvlJc w:val="left"/>
      <w:pPr>
        <w:ind w:left="540" w:hanging="360"/>
      </w:pPr>
      <w:rPr>
        <w:rFonts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51EE6283"/>
    <w:multiLevelType w:val="hybridMultilevel"/>
    <w:tmpl w:val="2AB6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F1852"/>
    <w:multiLevelType w:val="hybridMultilevel"/>
    <w:tmpl w:val="5B60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87BB0"/>
    <w:multiLevelType w:val="hybridMultilevel"/>
    <w:tmpl w:val="38D261E8"/>
    <w:lvl w:ilvl="0" w:tplc="0409000F">
      <w:start w:val="1"/>
      <w:numFmt w:val="decimal"/>
      <w:lvlText w:val="%1."/>
      <w:lvlJc w:val="left"/>
      <w:pPr>
        <w:ind w:left="540" w:hanging="360"/>
      </w:pPr>
      <w:rPr>
        <w:rFonts w:hint="default"/>
      </w:rPr>
    </w:lvl>
    <w:lvl w:ilvl="1" w:tplc="0409000F">
      <w:start w:val="1"/>
      <w:numFmt w:val="decimal"/>
      <w:lvlText w:val="%2."/>
      <w:lvlJc w:val="left"/>
      <w:pPr>
        <w:ind w:left="900" w:hanging="360"/>
      </w:pPr>
      <w:rPr>
        <w:rFonts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68B71139"/>
    <w:multiLevelType w:val="hybridMultilevel"/>
    <w:tmpl w:val="A0542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F27891"/>
    <w:multiLevelType w:val="hybridMultilevel"/>
    <w:tmpl w:val="4B04489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26E47C4"/>
    <w:multiLevelType w:val="hybridMultilevel"/>
    <w:tmpl w:val="C6ECD274"/>
    <w:lvl w:ilvl="0" w:tplc="0409000F">
      <w:start w:val="1"/>
      <w:numFmt w:val="decimal"/>
      <w:lvlText w:val="%1."/>
      <w:lvlJc w:val="left"/>
      <w:pPr>
        <w:ind w:left="540" w:hanging="360"/>
      </w:pPr>
      <w:rPr>
        <w:rFonts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9"/>
  </w:num>
  <w:num w:numId="7">
    <w:abstractNumId w:val="8"/>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E1"/>
    <w:rsid w:val="00025844"/>
    <w:rsid w:val="000725E4"/>
    <w:rsid w:val="000E0E26"/>
    <w:rsid w:val="00170C21"/>
    <w:rsid w:val="001D0B84"/>
    <w:rsid w:val="001D377D"/>
    <w:rsid w:val="00264842"/>
    <w:rsid w:val="00295829"/>
    <w:rsid w:val="003A2C4A"/>
    <w:rsid w:val="003F39ED"/>
    <w:rsid w:val="00466C3F"/>
    <w:rsid w:val="004943DB"/>
    <w:rsid w:val="004E5DEC"/>
    <w:rsid w:val="004E7BA3"/>
    <w:rsid w:val="00533078"/>
    <w:rsid w:val="00546C28"/>
    <w:rsid w:val="005506AC"/>
    <w:rsid w:val="0059515F"/>
    <w:rsid w:val="005E25A1"/>
    <w:rsid w:val="00617604"/>
    <w:rsid w:val="006751CE"/>
    <w:rsid w:val="00692A40"/>
    <w:rsid w:val="007C5A46"/>
    <w:rsid w:val="007C6EBC"/>
    <w:rsid w:val="007D5682"/>
    <w:rsid w:val="007E5F86"/>
    <w:rsid w:val="007F6033"/>
    <w:rsid w:val="00874BBB"/>
    <w:rsid w:val="008F4AEE"/>
    <w:rsid w:val="009A1AAE"/>
    <w:rsid w:val="009B0C65"/>
    <w:rsid w:val="009E26B1"/>
    <w:rsid w:val="009E5A8F"/>
    <w:rsid w:val="009F7BE1"/>
    <w:rsid w:val="00A570C3"/>
    <w:rsid w:val="00AA1F9B"/>
    <w:rsid w:val="00AA6D56"/>
    <w:rsid w:val="00AD12C3"/>
    <w:rsid w:val="00B01CCC"/>
    <w:rsid w:val="00B03FF7"/>
    <w:rsid w:val="00B2538C"/>
    <w:rsid w:val="00B438BC"/>
    <w:rsid w:val="00BA67FF"/>
    <w:rsid w:val="00C10855"/>
    <w:rsid w:val="00C1294B"/>
    <w:rsid w:val="00C9532B"/>
    <w:rsid w:val="00CC6BD0"/>
    <w:rsid w:val="00D47BF3"/>
    <w:rsid w:val="00D61BB2"/>
    <w:rsid w:val="00E037C0"/>
    <w:rsid w:val="00E47A80"/>
    <w:rsid w:val="00EA762C"/>
    <w:rsid w:val="00EB70A0"/>
    <w:rsid w:val="00F47B38"/>
    <w:rsid w:val="00F57257"/>
    <w:rsid w:val="00F6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7BE1"/>
    <w:pPr>
      <w:ind w:left="720"/>
      <w:contextualSpacing/>
    </w:pPr>
  </w:style>
  <w:style w:type="paragraph" w:styleId="BalloonText">
    <w:name w:val="Balloon Text"/>
    <w:basedOn w:val="Normal"/>
    <w:link w:val="BalloonTextChar"/>
    <w:uiPriority w:val="99"/>
    <w:semiHidden/>
    <w:unhideWhenUsed/>
    <w:rsid w:val="0007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E4"/>
    <w:rPr>
      <w:rFonts w:ascii="Tahoma" w:hAnsi="Tahoma" w:cs="Tahoma"/>
      <w:sz w:val="16"/>
      <w:szCs w:val="16"/>
    </w:rPr>
  </w:style>
  <w:style w:type="paragraph" w:styleId="NormalWeb">
    <w:name w:val="Normal (Web)"/>
    <w:basedOn w:val="Normal"/>
    <w:uiPriority w:val="99"/>
    <w:unhideWhenUsed/>
    <w:rsid w:val="00466C3F"/>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uiPriority w:val="60"/>
    <w:rsid w:val="00466C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466C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66C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25844"/>
    <w:rPr>
      <w:sz w:val="16"/>
      <w:szCs w:val="16"/>
    </w:rPr>
  </w:style>
  <w:style w:type="paragraph" w:styleId="CommentText">
    <w:name w:val="annotation text"/>
    <w:basedOn w:val="Normal"/>
    <w:link w:val="CommentTextChar"/>
    <w:uiPriority w:val="99"/>
    <w:semiHidden/>
    <w:unhideWhenUsed/>
    <w:rsid w:val="00025844"/>
    <w:pPr>
      <w:spacing w:line="240" w:lineRule="auto"/>
    </w:pPr>
    <w:rPr>
      <w:sz w:val="20"/>
      <w:szCs w:val="20"/>
    </w:rPr>
  </w:style>
  <w:style w:type="character" w:customStyle="1" w:styleId="CommentTextChar">
    <w:name w:val="Comment Text Char"/>
    <w:basedOn w:val="DefaultParagraphFont"/>
    <w:link w:val="CommentText"/>
    <w:uiPriority w:val="99"/>
    <w:semiHidden/>
    <w:rsid w:val="00025844"/>
    <w:rPr>
      <w:sz w:val="20"/>
      <w:szCs w:val="20"/>
    </w:rPr>
  </w:style>
  <w:style w:type="paragraph" w:styleId="CommentSubject">
    <w:name w:val="annotation subject"/>
    <w:basedOn w:val="CommentText"/>
    <w:next w:val="CommentText"/>
    <w:link w:val="CommentSubjectChar"/>
    <w:uiPriority w:val="99"/>
    <w:semiHidden/>
    <w:unhideWhenUsed/>
    <w:rsid w:val="00025844"/>
    <w:rPr>
      <w:b/>
      <w:bCs/>
    </w:rPr>
  </w:style>
  <w:style w:type="character" w:customStyle="1" w:styleId="CommentSubjectChar">
    <w:name w:val="Comment Subject Char"/>
    <w:basedOn w:val="CommentTextChar"/>
    <w:link w:val="CommentSubject"/>
    <w:uiPriority w:val="99"/>
    <w:semiHidden/>
    <w:rsid w:val="000258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7BE1"/>
    <w:pPr>
      <w:ind w:left="720"/>
      <w:contextualSpacing/>
    </w:pPr>
  </w:style>
  <w:style w:type="paragraph" w:styleId="BalloonText">
    <w:name w:val="Balloon Text"/>
    <w:basedOn w:val="Normal"/>
    <w:link w:val="BalloonTextChar"/>
    <w:uiPriority w:val="99"/>
    <w:semiHidden/>
    <w:unhideWhenUsed/>
    <w:rsid w:val="0007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E4"/>
    <w:rPr>
      <w:rFonts w:ascii="Tahoma" w:hAnsi="Tahoma" w:cs="Tahoma"/>
      <w:sz w:val="16"/>
      <w:szCs w:val="16"/>
    </w:rPr>
  </w:style>
  <w:style w:type="paragraph" w:styleId="NormalWeb">
    <w:name w:val="Normal (Web)"/>
    <w:basedOn w:val="Normal"/>
    <w:uiPriority w:val="99"/>
    <w:unhideWhenUsed/>
    <w:rsid w:val="00466C3F"/>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uiPriority w:val="60"/>
    <w:rsid w:val="00466C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466C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66C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25844"/>
    <w:rPr>
      <w:sz w:val="16"/>
      <w:szCs w:val="16"/>
    </w:rPr>
  </w:style>
  <w:style w:type="paragraph" w:styleId="CommentText">
    <w:name w:val="annotation text"/>
    <w:basedOn w:val="Normal"/>
    <w:link w:val="CommentTextChar"/>
    <w:uiPriority w:val="99"/>
    <w:semiHidden/>
    <w:unhideWhenUsed/>
    <w:rsid w:val="00025844"/>
    <w:pPr>
      <w:spacing w:line="240" w:lineRule="auto"/>
    </w:pPr>
    <w:rPr>
      <w:sz w:val="20"/>
      <w:szCs w:val="20"/>
    </w:rPr>
  </w:style>
  <w:style w:type="character" w:customStyle="1" w:styleId="CommentTextChar">
    <w:name w:val="Comment Text Char"/>
    <w:basedOn w:val="DefaultParagraphFont"/>
    <w:link w:val="CommentText"/>
    <w:uiPriority w:val="99"/>
    <w:semiHidden/>
    <w:rsid w:val="00025844"/>
    <w:rPr>
      <w:sz w:val="20"/>
      <w:szCs w:val="20"/>
    </w:rPr>
  </w:style>
  <w:style w:type="paragraph" w:styleId="CommentSubject">
    <w:name w:val="annotation subject"/>
    <w:basedOn w:val="CommentText"/>
    <w:next w:val="CommentText"/>
    <w:link w:val="CommentSubjectChar"/>
    <w:uiPriority w:val="99"/>
    <w:semiHidden/>
    <w:unhideWhenUsed/>
    <w:rsid w:val="00025844"/>
    <w:rPr>
      <w:b/>
      <w:bCs/>
    </w:rPr>
  </w:style>
  <w:style w:type="character" w:customStyle="1" w:styleId="CommentSubjectChar">
    <w:name w:val="Comment Subject Char"/>
    <w:basedOn w:val="CommentTextChar"/>
    <w:link w:val="CommentSubject"/>
    <w:uiPriority w:val="99"/>
    <w:semiHidden/>
    <w:rsid w:val="00025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4552">
      <w:bodyDiv w:val="1"/>
      <w:marLeft w:val="0"/>
      <w:marRight w:val="0"/>
      <w:marTop w:val="0"/>
      <w:marBottom w:val="0"/>
      <w:divBdr>
        <w:top w:val="none" w:sz="0" w:space="0" w:color="auto"/>
        <w:left w:val="none" w:sz="0" w:space="0" w:color="auto"/>
        <w:bottom w:val="none" w:sz="0" w:space="0" w:color="auto"/>
        <w:right w:val="none" w:sz="0" w:space="0" w:color="auto"/>
      </w:divBdr>
    </w:div>
    <w:div w:id="616059689">
      <w:bodyDiv w:val="1"/>
      <w:marLeft w:val="0"/>
      <w:marRight w:val="0"/>
      <w:marTop w:val="0"/>
      <w:marBottom w:val="0"/>
      <w:divBdr>
        <w:top w:val="none" w:sz="0" w:space="0" w:color="auto"/>
        <w:left w:val="none" w:sz="0" w:space="0" w:color="auto"/>
        <w:bottom w:val="none" w:sz="0" w:space="0" w:color="auto"/>
        <w:right w:val="none" w:sz="0" w:space="0" w:color="auto"/>
      </w:divBdr>
    </w:div>
    <w:div w:id="904725818">
      <w:bodyDiv w:val="1"/>
      <w:marLeft w:val="0"/>
      <w:marRight w:val="0"/>
      <w:marTop w:val="0"/>
      <w:marBottom w:val="0"/>
      <w:divBdr>
        <w:top w:val="none" w:sz="0" w:space="0" w:color="auto"/>
        <w:left w:val="none" w:sz="0" w:space="0" w:color="auto"/>
        <w:bottom w:val="none" w:sz="0" w:space="0" w:color="auto"/>
        <w:right w:val="none" w:sz="0" w:space="0" w:color="auto"/>
      </w:divBdr>
    </w:div>
    <w:div w:id="942806126">
      <w:bodyDiv w:val="1"/>
      <w:marLeft w:val="0"/>
      <w:marRight w:val="0"/>
      <w:marTop w:val="0"/>
      <w:marBottom w:val="0"/>
      <w:divBdr>
        <w:top w:val="none" w:sz="0" w:space="0" w:color="auto"/>
        <w:left w:val="none" w:sz="0" w:space="0" w:color="auto"/>
        <w:bottom w:val="none" w:sz="0" w:space="0" w:color="auto"/>
        <w:right w:val="none" w:sz="0" w:space="0" w:color="auto"/>
      </w:divBdr>
    </w:div>
    <w:div w:id="1458330409">
      <w:bodyDiv w:val="1"/>
      <w:marLeft w:val="0"/>
      <w:marRight w:val="0"/>
      <w:marTop w:val="0"/>
      <w:marBottom w:val="0"/>
      <w:divBdr>
        <w:top w:val="none" w:sz="0" w:space="0" w:color="auto"/>
        <w:left w:val="none" w:sz="0" w:space="0" w:color="auto"/>
        <w:bottom w:val="none" w:sz="0" w:space="0" w:color="auto"/>
        <w:right w:val="none" w:sz="0" w:space="0" w:color="auto"/>
      </w:divBdr>
    </w:div>
    <w:div w:id="1526482087">
      <w:bodyDiv w:val="1"/>
      <w:marLeft w:val="0"/>
      <w:marRight w:val="0"/>
      <w:marTop w:val="0"/>
      <w:marBottom w:val="0"/>
      <w:divBdr>
        <w:top w:val="none" w:sz="0" w:space="0" w:color="auto"/>
        <w:left w:val="none" w:sz="0" w:space="0" w:color="auto"/>
        <w:bottom w:val="none" w:sz="0" w:space="0" w:color="auto"/>
        <w:right w:val="none" w:sz="0" w:space="0" w:color="auto"/>
      </w:divBdr>
    </w:div>
    <w:div w:id="1801918659">
      <w:bodyDiv w:val="1"/>
      <w:marLeft w:val="0"/>
      <w:marRight w:val="0"/>
      <w:marTop w:val="0"/>
      <w:marBottom w:val="0"/>
      <w:divBdr>
        <w:top w:val="none" w:sz="0" w:space="0" w:color="auto"/>
        <w:left w:val="none" w:sz="0" w:space="0" w:color="auto"/>
        <w:bottom w:val="none" w:sz="0" w:space="0" w:color="auto"/>
        <w:right w:val="none" w:sz="0" w:space="0" w:color="auto"/>
      </w:divBdr>
    </w:div>
    <w:div w:id="2009479332">
      <w:bodyDiv w:val="1"/>
      <w:marLeft w:val="0"/>
      <w:marRight w:val="0"/>
      <w:marTop w:val="0"/>
      <w:marBottom w:val="0"/>
      <w:divBdr>
        <w:top w:val="none" w:sz="0" w:space="0" w:color="auto"/>
        <w:left w:val="none" w:sz="0" w:space="0" w:color="auto"/>
        <w:bottom w:val="none" w:sz="0" w:space="0" w:color="auto"/>
        <w:right w:val="none" w:sz="0" w:space="0" w:color="auto"/>
      </w:divBdr>
    </w:div>
    <w:div w:id="21431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Fleetwood Loustalot</dc:creator>
  <cp:lastModifiedBy>Gunn, Janelle P. (CDC/ONDIEH/NCCDPHP)</cp:lastModifiedBy>
  <cp:revision>3</cp:revision>
  <cp:lastPrinted>2014-02-07T15:49:00Z</cp:lastPrinted>
  <dcterms:created xsi:type="dcterms:W3CDTF">2014-02-07T16:03:00Z</dcterms:created>
  <dcterms:modified xsi:type="dcterms:W3CDTF">2014-02-07T16:51:00Z</dcterms:modified>
</cp:coreProperties>
</file>