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1" w:rsidRPr="00F12D1B" w:rsidRDefault="00753A78" w:rsidP="00345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257175</wp:posOffset>
                </wp:positionV>
                <wp:extent cx="6337935" cy="1143000"/>
                <wp:effectExtent l="571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78" w:rsidRPr="008F706D" w:rsidRDefault="00753A78" w:rsidP="00753A7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talking points offer a variety of different points that you can make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 your conversations with HCPs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 You can share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talking points with HCP contacts you make, so that they can use them with their respective teams or colleagues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Replace yellow highlighted text with information specific to your program. </w:t>
                            </w:r>
                            <w:r w:rsidRPr="008F70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Note: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You may wish to include local and/or state-level data in your talking points, which can be found by consulting your state’s chronic disease program or in CDC’s Diabetes Interactive Atlases at </w:t>
                            </w:r>
                            <w:hyperlink r:id="rId6" w:history="1">
                              <w:r w:rsidRPr="008F706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www.cdc.gov/diabetes/atlas/index.htm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53A78" w:rsidRDefault="00753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0.25pt;width:499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">
                <v:textbox>
                  <w:txbxContent>
                    <w:p w:rsidR="00753A78" w:rsidRPr="008F706D" w:rsidRDefault="00753A78" w:rsidP="00753A7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talking points offer a variety of different points that you can make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 your conversations with HCPs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 You can share the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talking points with HCP contacts you make, so that they can use them with their respective teams or colleagues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Replace yellow highlighted text with information specific to your program. </w:t>
                      </w:r>
                      <w:r w:rsidRPr="008F706D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Note: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You may wish to include local and/or state-level data in your talking points, which can be found by consulting your state’s chronic disease program or in CDC’s Diabetes Interactive Atlases at </w:t>
                      </w:r>
                      <w:hyperlink r:id="rId7" w:history="1">
                        <w:r w:rsidRPr="008F706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www.cdc.gov/diabetes/atlas/index.htm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753A78" w:rsidRDefault="00753A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C</w:t>
      </w:r>
      <w:r w:rsidR="00345605">
        <w:rPr>
          <w:rFonts w:ascii="Arial" w:hAnsi="Arial" w:cs="Arial"/>
          <w:b/>
          <w:bCs/>
        </w:rPr>
        <w:t>ontent for Talking P</w:t>
      </w:r>
      <w:r w:rsidR="00683EDF">
        <w:rPr>
          <w:rFonts w:ascii="Arial" w:hAnsi="Arial" w:cs="Arial"/>
          <w:b/>
          <w:bCs/>
        </w:rPr>
        <w:t xml:space="preserve">oints for </w:t>
      </w:r>
      <w:r w:rsidR="00DB0D47">
        <w:rPr>
          <w:rFonts w:ascii="Arial" w:hAnsi="Arial" w:cs="Arial"/>
          <w:b/>
          <w:bCs/>
        </w:rPr>
        <w:t>Healthcare Providers (</w:t>
      </w:r>
      <w:r w:rsidR="00683EDF">
        <w:rPr>
          <w:rFonts w:ascii="Arial" w:hAnsi="Arial" w:cs="Arial"/>
          <w:b/>
          <w:bCs/>
        </w:rPr>
        <w:t>HCPs</w:t>
      </w:r>
      <w:r w:rsidR="00DB0D47">
        <w:rPr>
          <w:rFonts w:ascii="Arial" w:hAnsi="Arial" w:cs="Arial"/>
          <w:b/>
          <w:bCs/>
        </w:rPr>
        <w:t>)</w:t>
      </w:r>
    </w:p>
    <w:p w:rsidR="00753A78" w:rsidRDefault="00753A78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53A78" w:rsidRDefault="00753A78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53A78" w:rsidRDefault="00753A78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53A78" w:rsidRDefault="00753A78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2463F1" w:rsidRPr="00F12D1B" w:rsidRDefault="002463F1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2463F1" w:rsidRPr="00F12D1B" w:rsidRDefault="002463F1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F12D1B">
        <w:rPr>
          <w:rFonts w:ascii="Arial" w:hAnsi="Arial" w:cs="Arial"/>
          <w:b/>
          <w:bCs/>
          <w:highlight w:val="yellow"/>
        </w:rPr>
        <w:t>[</w:t>
      </w:r>
      <w:r w:rsidR="00DB0D47">
        <w:rPr>
          <w:rFonts w:ascii="Arial" w:hAnsi="Arial" w:cs="Arial"/>
          <w:b/>
          <w:bCs/>
          <w:highlight w:val="yellow"/>
        </w:rPr>
        <w:t xml:space="preserve">Your </w:t>
      </w:r>
      <w:r w:rsidRPr="00F12D1B">
        <w:rPr>
          <w:rFonts w:ascii="Arial" w:hAnsi="Arial" w:cs="Arial"/>
          <w:b/>
          <w:bCs/>
          <w:highlight w:val="yellow"/>
        </w:rPr>
        <w:t>Organization/Program name]</w:t>
      </w:r>
      <w:r w:rsidRPr="00F12D1B">
        <w:rPr>
          <w:rFonts w:ascii="Arial" w:hAnsi="Arial" w:cs="Arial"/>
          <w:b/>
          <w:bCs/>
        </w:rPr>
        <w:t xml:space="preserve"> Talking Points</w:t>
      </w:r>
    </w:p>
    <w:p w:rsidR="002463F1" w:rsidRPr="00F12D1B" w:rsidRDefault="002463F1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F12D1B">
        <w:rPr>
          <w:rFonts w:ascii="Arial" w:hAnsi="Arial" w:cs="Arial"/>
          <w:b/>
          <w:bCs/>
          <w:sz w:val="20"/>
          <w:szCs w:val="20"/>
        </w:rPr>
        <w:t>About The Program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Pr="00F12D1B">
        <w:rPr>
          <w:rFonts w:ascii="Arial" w:hAnsi="Arial" w:cs="Arial"/>
          <w:sz w:val="22"/>
          <w:szCs w:val="22"/>
          <w:highlight w:val="yellow"/>
        </w:rPr>
        <w:t>Organization/Program name]</w:t>
      </w:r>
      <w:r w:rsidRPr="00F12D1B">
        <w:rPr>
          <w:rFonts w:ascii="Arial" w:hAnsi="Arial" w:cs="Arial"/>
          <w:sz w:val="22"/>
          <w:szCs w:val="22"/>
        </w:rPr>
        <w:t xml:space="preserve"> is part of the National Diabetes Prevention Program, led by the Centers for Disease Control and Prevention (CDC). It is a proven </w:t>
      </w:r>
      <w:r>
        <w:rPr>
          <w:rFonts w:ascii="Arial" w:hAnsi="Arial" w:cs="Arial"/>
          <w:sz w:val="22"/>
          <w:szCs w:val="22"/>
        </w:rPr>
        <w:t>lifestyle change intervention</w:t>
      </w:r>
      <w:r w:rsidRPr="00F12D1B">
        <w:rPr>
          <w:rFonts w:ascii="Arial" w:hAnsi="Arial" w:cs="Arial"/>
          <w:sz w:val="22"/>
          <w:szCs w:val="22"/>
        </w:rPr>
        <w:t xml:space="preserve"> that has been shown to preve</w:t>
      </w:r>
      <w:r w:rsidR="00683EDF">
        <w:rPr>
          <w:rFonts w:ascii="Arial" w:hAnsi="Arial" w:cs="Arial"/>
          <w:sz w:val="22"/>
          <w:szCs w:val="22"/>
        </w:rPr>
        <w:t xml:space="preserve">nt or delay type </w:t>
      </w:r>
      <w:proofErr w:type="gramStart"/>
      <w:r w:rsidR="00683EDF">
        <w:rPr>
          <w:rFonts w:ascii="Arial" w:hAnsi="Arial" w:cs="Arial"/>
          <w:sz w:val="22"/>
          <w:szCs w:val="22"/>
        </w:rPr>
        <w:t xml:space="preserve">2 diabetes in </w:t>
      </w:r>
      <w:r w:rsidRPr="00F12D1B">
        <w:rPr>
          <w:rFonts w:ascii="Arial" w:hAnsi="Arial" w:cs="Arial"/>
          <w:sz w:val="22"/>
          <w:szCs w:val="22"/>
        </w:rPr>
        <w:t>high-risk patients</w:t>
      </w:r>
      <w:proofErr w:type="gramEnd"/>
      <w:r w:rsidRPr="00F12D1B">
        <w:rPr>
          <w:rFonts w:ascii="Arial" w:hAnsi="Arial" w:cs="Arial"/>
          <w:sz w:val="22"/>
          <w:szCs w:val="22"/>
        </w:rPr>
        <w:t>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The Centers for Disease Control and Prevention (CDC) leads the National Diabetes Prevention Program, a public-private partnership of community organizations, private insurers, employers, health care organizations, faith-based organizations, and government agencies working to establish local </w:t>
      </w:r>
      <w:r>
        <w:rPr>
          <w:rFonts w:ascii="Arial" w:hAnsi="Arial" w:cs="Arial"/>
          <w:sz w:val="22"/>
          <w:szCs w:val="22"/>
        </w:rPr>
        <w:t>lifestyle change intervention</w:t>
      </w:r>
      <w:r w:rsidRPr="00F12D1B">
        <w:rPr>
          <w:rFonts w:ascii="Arial" w:hAnsi="Arial" w:cs="Arial"/>
          <w:sz w:val="22"/>
          <w:szCs w:val="22"/>
        </w:rPr>
        <w:t>s for people at high risk for type 2 diabetes.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is based on res</w:t>
      </w:r>
      <w:r w:rsidR="00E26361">
        <w:rPr>
          <w:rFonts w:ascii="Arial" w:hAnsi="Arial" w:cs="Arial"/>
          <w:sz w:val="22"/>
          <w:szCs w:val="22"/>
        </w:rPr>
        <w:t>earch examining the effects of</w:t>
      </w:r>
      <w:r w:rsidRPr="00F12D1B">
        <w:rPr>
          <w:rFonts w:ascii="Arial" w:hAnsi="Arial" w:cs="Arial"/>
          <w:sz w:val="22"/>
          <w:szCs w:val="22"/>
        </w:rPr>
        <w:t xml:space="preserve"> structured </w:t>
      </w:r>
      <w:r>
        <w:rPr>
          <w:rFonts w:ascii="Arial" w:hAnsi="Arial" w:cs="Arial"/>
          <w:sz w:val="22"/>
          <w:szCs w:val="22"/>
        </w:rPr>
        <w:t>lifestyle change intervention</w:t>
      </w:r>
      <w:r w:rsidR="00E26361">
        <w:rPr>
          <w:rFonts w:ascii="Arial" w:hAnsi="Arial" w:cs="Arial"/>
          <w:sz w:val="22"/>
          <w:szCs w:val="22"/>
        </w:rPr>
        <w:t>s.  The research</w:t>
      </w:r>
      <w:r w:rsidRPr="00F12D1B">
        <w:rPr>
          <w:rFonts w:ascii="Arial" w:hAnsi="Arial" w:cs="Arial"/>
          <w:sz w:val="22"/>
          <w:szCs w:val="22"/>
        </w:rPr>
        <w:t xml:space="preserve"> showed </w:t>
      </w:r>
      <w:r w:rsidR="00DB0D47">
        <w:rPr>
          <w:rFonts w:ascii="Arial" w:hAnsi="Arial" w:cs="Arial"/>
          <w:sz w:val="22"/>
          <w:szCs w:val="22"/>
        </w:rPr>
        <w:t xml:space="preserve">that </w:t>
      </w:r>
      <w:r w:rsidRPr="00F12D1B">
        <w:rPr>
          <w:rFonts w:ascii="Arial" w:hAnsi="Arial" w:cs="Arial"/>
          <w:sz w:val="22"/>
          <w:szCs w:val="22"/>
        </w:rPr>
        <w:t>weight loss of 5 to 7 percent of body weight (10 to 14 pounds for a person weighing 200 pounds)</w:t>
      </w:r>
      <w:r w:rsidR="00DB0D47">
        <w:rPr>
          <w:rFonts w:ascii="Arial" w:hAnsi="Arial" w:cs="Arial"/>
          <w:sz w:val="22"/>
          <w:szCs w:val="22"/>
        </w:rPr>
        <w:t>,</w:t>
      </w:r>
      <w:r w:rsidRPr="00F12D1B">
        <w:rPr>
          <w:rFonts w:ascii="Arial" w:hAnsi="Arial" w:cs="Arial"/>
          <w:sz w:val="22"/>
          <w:szCs w:val="22"/>
        </w:rPr>
        <w:t xml:space="preserve"> achieved by reducing calories and increasing physical activity to at least 150 minutes per week</w:t>
      </w:r>
      <w:r w:rsidR="00DB0D47">
        <w:rPr>
          <w:rFonts w:ascii="Arial" w:hAnsi="Arial" w:cs="Arial"/>
          <w:sz w:val="22"/>
          <w:szCs w:val="22"/>
        </w:rPr>
        <w:t>,</w:t>
      </w:r>
      <w:r w:rsidRPr="00F12D1B">
        <w:rPr>
          <w:rFonts w:ascii="Arial" w:hAnsi="Arial" w:cs="Arial"/>
          <w:sz w:val="22"/>
          <w:szCs w:val="22"/>
        </w:rPr>
        <w:t xml:space="preserve"> reduced the risk of developing type </w:t>
      </w:r>
      <w:proofErr w:type="gramStart"/>
      <w:r w:rsidRPr="00F12D1B">
        <w:rPr>
          <w:rFonts w:ascii="Arial" w:hAnsi="Arial" w:cs="Arial"/>
          <w:sz w:val="22"/>
          <w:szCs w:val="22"/>
        </w:rPr>
        <w:t>2 diabetes</w:t>
      </w:r>
      <w:proofErr w:type="gramEnd"/>
      <w:r w:rsidRPr="00F12D1B">
        <w:rPr>
          <w:rFonts w:ascii="Arial" w:hAnsi="Arial" w:cs="Arial"/>
          <w:sz w:val="22"/>
          <w:szCs w:val="22"/>
        </w:rPr>
        <w:t xml:space="preserve"> by 58 percent in people at high risk for the disease</w:t>
      </w:r>
      <w:r w:rsidRPr="00F12D1B">
        <w:rPr>
          <w:rFonts w:ascii="Arial" w:hAnsi="Arial" w:cs="Arial"/>
        </w:rPr>
        <w:t>.</w:t>
      </w:r>
      <w:r w:rsidRPr="00F12D1B">
        <w:rPr>
          <w:rFonts w:ascii="Arial" w:hAnsi="Arial" w:cs="Arial"/>
          <w:sz w:val="22"/>
          <w:szCs w:val="22"/>
        </w:rPr>
        <w:t xml:space="preserve"> For people over 60 years old, the program reduced risk by 71 percent.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12D1B">
        <w:rPr>
          <w:rFonts w:ascii="Arial" w:hAnsi="Arial" w:cs="Arial"/>
          <w:sz w:val="22"/>
          <w:szCs w:val="22"/>
        </w:rPr>
        <w:t xml:space="preserve">A follow-up study found, after 10 years, those who had participated in the earlier </w:t>
      </w:r>
      <w:r>
        <w:rPr>
          <w:rFonts w:ascii="Arial" w:hAnsi="Arial" w:cs="Arial"/>
          <w:sz w:val="22"/>
          <w:szCs w:val="22"/>
        </w:rPr>
        <w:t>lifestyle change intervention</w:t>
      </w:r>
      <w:r w:rsidRPr="00F12D1B">
        <w:rPr>
          <w:rFonts w:ascii="Arial" w:hAnsi="Arial" w:cs="Arial"/>
          <w:sz w:val="22"/>
          <w:szCs w:val="22"/>
        </w:rPr>
        <w:t xml:space="preserve"> had a 34 percent lower rate of type 2 diabetes.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uses a CDC-approved curriculum to help prevent or delay type 2 diabetes in people at risk through achievable and realistic lifestyle changes.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trike/>
        </w:rPr>
      </w:pPr>
      <w:r w:rsidRPr="00F12D1B">
        <w:rPr>
          <w:rFonts w:ascii="Arial" w:hAnsi="Arial" w:cs="Arial"/>
          <w:sz w:val="22"/>
          <w:szCs w:val="22"/>
        </w:rPr>
        <w:t>Programs are conducted by lifestyle coaches who are trained on an evidence-based, CDC-approved curriculum.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participants meet in groups with a trained lifestyle coach once a week for 16 weeks and then once a month for 6 months to learn ways to incorporate healthier eating, </w:t>
      </w:r>
      <w:proofErr w:type="gramStart"/>
      <w:r w:rsidRPr="00F12D1B">
        <w:rPr>
          <w:rFonts w:ascii="Arial" w:hAnsi="Arial" w:cs="Arial"/>
          <w:sz w:val="22"/>
          <w:szCs w:val="22"/>
        </w:rPr>
        <w:t>moderate</w:t>
      </w:r>
      <w:proofErr w:type="gramEnd"/>
      <w:r w:rsidRPr="00F12D1B">
        <w:rPr>
          <w:rFonts w:ascii="Arial" w:hAnsi="Arial" w:cs="Arial"/>
          <w:sz w:val="22"/>
          <w:szCs w:val="22"/>
        </w:rPr>
        <w:t xml:space="preserve"> physical activity, and problem-solving and coping skills into their daily lives.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CDC monitors the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</w:t>
      </w:r>
      <w:r w:rsidR="004F733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ifestyle change intervention</w:t>
      </w:r>
      <w:r w:rsidRPr="00F12D1B">
        <w:rPr>
          <w:rFonts w:ascii="Arial" w:hAnsi="Arial" w:cs="Arial"/>
          <w:sz w:val="22"/>
          <w:szCs w:val="22"/>
        </w:rPr>
        <w:t xml:space="preserve"> through its recognition program to ensure quality control and adherence to scientific standards.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is being offered in locations in your community. [Insert location].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You can learn more about the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="006E0A22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ifestyle change intervention</w:t>
      </w:r>
      <w:r w:rsidRPr="00F12D1B">
        <w:rPr>
          <w:rFonts w:ascii="Arial" w:hAnsi="Arial" w:cs="Arial"/>
          <w:sz w:val="22"/>
          <w:szCs w:val="22"/>
        </w:rPr>
        <w:t xml:space="preserve"> by calling [insert name and phone number] or visiting </w:t>
      </w:r>
      <w:hyperlink r:id="rId8" w:history="1">
        <w:r w:rsidRPr="00F12D1B">
          <w:rPr>
            <w:rFonts w:ascii="Arial" w:hAnsi="Arial" w:cs="Arial"/>
            <w:sz w:val="22"/>
            <w:szCs w:val="22"/>
          </w:rPr>
          <w:t>www.cdc.gov/diabetes/prevention</w:t>
        </w:r>
      </w:hyperlink>
      <w:r w:rsidR="00683EDF">
        <w:rPr>
          <w:rFonts w:ascii="Arial" w:hAnsi="Arial" w:cs="Arial"/>
          <w:sz w:val="22"/>
          <w:szCs w:val="22"/>
        </w:rPr>
        <w:t xml:space="preserve"> or </w:t>
      </w:r>
      <w:r w:rsidRPr="00E26361">
        <w:rPr>
          <w:rFonts w:ascii="Arial" w:hAnsi="Arial" w:cs="Arial"/>
          <w:sz w:val="22"/>
          <w:szCs w:val="22"/>
          <w:highlight w:val="yellow"/>
        </w:rPr>
        <w:t>[insert local website</w:t>
      </w:r>
      <w:r w:rsidRPr="00F12D1B">
        <w:rPr>
          <w:rFonts w:ascii="Arial" w:hAnsi="Arial" w:cs="Arial"/>
          <w:sz w:val="22"/>
          <w:szCs w:val="22"/>
        </w:rPr>
        <w:t>].</w:t>
      </w:r>
    </w:p>
    <w:p w:rsidR="00345605" w:rsidRDefault="00345605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463F1" w:rsidRPr="00F12D1B" w:rsidRDefault="002463F1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12D1B">
        <w:rPr>
          <w:rFonts w:ascii="Arial" w:hAnsi="Arial" w:cs="Arial"/>
          <w:b/>
          <w:bCs/>
          <w:sz w:val="20"/>
          <w:szCs w:val="20"/>
        </w:rPr>
        <w:t>Facts About Prediabetes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>An estimated 79 million Americans have prediabetes, and only 11 percent of them know they have it, putting them at greater risk for developing type 2 diabetes, heart disease, and stroke.</w:t>
      </w:r>
      <w:r w:rsidRPr="00F12D1B">
        <w:rPr>
          <w:rFonts w:ascii="Arial" w:hAnsi="Arial" w:cs="Arial"/>
          <w:sz w:val="13"/>
          <w:szCs w:val="13"/>
          <w:vertAlign w:val="superscript"/>
        </w:rPr>
        <w:t>2</w:t>
      </w:r>
      <w:proofErr w:type="gramStart"/>
      <w:r w:rsidRPr="00F12D1B">
        <w:rPr>
          <w:rFonts w:ascii="Arial" w:hAnsi="Arial" w:cs="Arial"/>
          <w:sz w:val="13"/>
          <w:szCs w:val="13"/>
          <w:vertAlign w:val="superscript"/>
        </w:rPr>
        <w:t>,3</w:t>
      </w:r>
      <w:proofErr w:type="gramEnd"/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>CDC estimates that as many as 1 in 5 peo</w:t>
      </w:r>
      <w:r w:rsidR="00683EDF">
        <w:rPr>
          <w:rFonts w:ascii="Arial" w:hAnsi="Arial" w:cs="Arial"/>
          <w:sz w:val="22"/>
          <w:szCs w:val="22"/>
        </w:rPr>
        <w:t xml:space="preserve">ple could have type </w:t>
      </w:r>
      <w:proofErr w:type="gramStart"/>
      <w:r w:rsidR="00683EDF">
        <w:rPr>
          <w:rFonts w:ascii="Arial" w:hAnsi="Arial" w:cs="Arial"/>
          <w:sz w:val="22"/>
          <w:szCs w:val="22"/>
        </w:rPr>
        <w:t>2 diabetes</w:t>
      </w:r>
      <w:proofErr w:type="gramEnd"/>
      <w:r w:rsidR="00683EDF">
        <w:rPr>
          <w:rFonts w:ascii="Arial" w:hAnsi="Arial" w:cs="Arial"/>
          <w:sz w:val="22"/>
          <w:szCs w:val="22"/>
        </w:rPr>
        <w:t xml:space="preserve"> </w:t>
      </w:r>
      <w:r w:rsidRPr="00F12D1B">
        <w:rPr>
          <w:rFonts w:ascii="Arial" w:hAnsi="Arial" w:cs="Arial"/>
          <w:sz w:val="22"/>
          <w:szCs w:val="22"/>
        </w:rPr>
        <w:t>by 2025.</w:t>
      </w:r>
      <w:r w:rsidRPr="00F12D1B">
        <w:rPr>
          <w:rFonts w:ascii="Arial" w:hAnsi="Arial" w:cs="Arial"/>
          <w:sz w:val="13"/>
          <w:szCs w:val="13"/>
          <w:vertAlign w:val="superscript"/>
        </w:rPr>
        <w:t>7</w:t>
      </w:r>
      <w:r w:rsidRPr="00F12D1B">
        <w:rPr>
          <w:rFonts w:ascii="Arial" w:hAnsi="Arial" w:cs="Arial"/>
          <w:sz w:val="22"/>
          <w:szCs w:val="22"/>
        </w:rPr>
        <w:t xml:space="preserve">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lastRenderedPageBreak/>
        <w:t>People with prediabetes are 5 to 15 times more likely to develop type 2 diabetes in their lifetime; if no action is taken, that can happen within 3 years.</w:t>
      </w:r>
      <w:r w:rsidRPr="00F12D1B">
        <w:rPr>
          <w:rFonts w:ascii="Arial" w:hAnsi="Arial" w:cs="Arial"/>
          <w:sz w:val="13"/>
          <w:szCs w:val="13"/>
          <w:vertAlign w:val="superscript"/>
        </w:rPr>
        <w:t>3</w:t>
      </w:r>
    </w:p>
    <w:p w:rsidR="00E26361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>As a health care provider, you see the face of prediabetes every day. Risk factors for prediabetes include</w:t>
      </w:r>
      <w:r w:rsidR="00E26361">
        <w:rPr>
          <w:rFonts w:ascii="Arial" w:hAnsi="Arial" w:cs="Arial"/>
          <w:sz w:val="22"/>
          <w:szCs w:val="22"/>
        </w:rPr>
        <w:t>:</w:t>
      </w:r>
      <w:r w:rsidRPr="00F12D1B">
        <w:rPr>
          <w:rFonts w:ascii="Arial" w:hAnsi="Arial" w:cs="Arial"/>
          <w:sz w:val="22"/>
          <w:szCs w:val="22"/>
        </w:rPr>
        <w:t xml:space="preserve"> </w:t>
      </w:r>
    </w:p>
    <w:p w:rsidR="00E26361" w:rsidRDefault="002463F1" w:rsidP="00E263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 xml:space="preserve">being 45 years of age or older, </w:t>
      </w:r>
    </w:p>
    <w:p w:rsidR="00E26361" w:rsidRDefault="002463F1" w:rsidP="00E263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 xml:space="preserve">being overweight, </w:t>
      </w:r>
    </w:p>
    <w:p w:rsidR="00E26361" w:rsidRDefault="002463F1" w:rsidP="00E263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 xml:space="preserve">exercising fewer than three times a week, </w:t>
      </w:r>
    </w:p>
    <w:p w:rsidR="00E26361" w:rsidRDefault="002463F1" w:rsidP="00E263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 xml:space="preserve">having a family history of type 2 diabetes, </w:t>
      </w:r>
    </w:p>
    <w:p w:rsidR="002463F1" w:rsidRPr="00E26361" w:rsidRDefault="002463F1" w:rsidP="00E263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proofErr w:type="gramStart"/>
      <w:r w:rsidRPr="00E26361">
        <w:rPr>
          <w:rFonts w:ascii="Arial" w:hAnsi="Arial" w:cs="Arial"/>
          <w:sz w:val="22"/>
          <w:szCs w:val="22"/>
        </w:rPr>
        <w:t>or</w:t>
      </w:r>
      <w:proofErr w:type="gramEnd"/>
      <w:r w:rsidRPr="00E26361">
        <w:rPr>
          <w:rFonts w:ascii="Arial" w:hAnsi="Arial" w:cs="Arial"/>
          <w:sz w:val="22"/>
          <w:szCs w:val="22"/>
        </w:rPr>
        <w:t xml:space="preserve"> have a history of gestational diabetes.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CDC has developed an online quiz making it easy for you to assess a patient’s risk for having prediabetes. Go to </w:t>
      </w:r>
      <w:hyperlink r:id="rId9" w:history="1">
        <w:r w:rsidRPr="00F12D1B">
          <w:rPr>
            <w:rFonts w:ascii="Arial" w:hAnsi="Arial" w:cs="Arial"/>
            <w:sz w:val="22"/>
            <w:szCs w:val="22"/>
          </w:rPr>
          <w:t>www.cdc.gov/diabetes/prevention</w:t>
        </w:r>
      </w:hyperlink>
      <w:r w:rsidRPr="00F12D1B">
        <w:rPr>
          <w:rFonts w:ascii="Arial" w:hAnsi="Arial" w:cs="Arial"/>
          <w:sz w:val="22"/>
          <w:szCs w:val="22"/>
        </w:rPr>
        <w:t xml:space="preserve"> to administer the quiz to your patients.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Prediabetes can be diagnosed via an HbA1c test, a fasting blood glucose test, or an oral glucose tolerance test. </w:t>
      </w:r>
    </w:p>
    <w:p w:rsidR="002463F1" w:rsidRPr="00E26361" w:rsidRDefault="002463F1" w:rsidP="00E263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 xml:space="preserve">An HbA1c value between 5.7 and 6.4; </w:t>
      </w:r>
    </w:p>
    <w:p w:rsidR="002463F1" w:rsidRPr="00E26361" w:rsidRDefault="002463F1" w:rsidP="00E263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>A fasting blood glucose value between 100 and 125 mg/</w:t>
      </w:r>
      <w:proofErr w:type="spellStart"/>
      <w:r w:rsidRPr="00E26361">
        <w:rPr>
          <w:rFonts w:ascii="Arial" w:hAnsi="Arial" w:cs="Arial"/>
          <w:sz w:val="22"/>
          <w:szCs w:val="22"/>
        </w:rPr>
        <w:t>dL</w:t>
      </w:r>
      <w:proofErr w:type="spellEnd"/>
      <w:r w:rsidRPr="00E26361">
        <w:rPr>
          <w:rFonts w:ascii="Arial" w:hAnsi="Arial" w:cs="Arial"/>
          <w:sz w:val="22"/>
          <w:szCs w:val="22"/>
        </w:rPr>
        <w:t xml:space="preserve">; or </w:t>
      </w:r>
    </w:p>
    <w:p w:rsidR="002463F1" w:rsidRPr="00E26361" w:rsidRDefault="002463F1" w:rsidP="00E263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E26361">
        <w:rPr>
          <w:rFonts w:ascii="Arial" w:hAnsi="Arial" w:cs="Arial"/>
          <w:sz w:val="22"/>
          <w:szCs w:val="22"/>
        </w:rPr>
        <w:t>An oral glucose tolerance test value between 140 and 199 mg/dL.</w:t>
      </w:r>
      <w:r w:rsidRPr="00E26361">
        <w:rPr>
          <w:rFonts w:ascii="Arial" w:hAnsi="Arial" w:cs="Arial"/>
          <w:sz w:val="14"/>
          <w:szCs w:val="14"/>
          <w:vertAlign w:val="superscript"/>
        </w:rPr>
        <w:t>4</w:t>
      </w:r>
      <w:r w:rsidRPr="00E26361">
        <w:rPr>
          <w:rFonts w:ascii="Arial" w:hAnsi="Arial" w:cs="Arial"/>
          <w:sz w:val="22"/>
          <w:szCs w:val="22"/>
        </w:rPr>
        <w:t xml:space="preserve">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>In 2012, the total cost of diagnosed diabetes was $245 billion, an increase of 41 percent from data collected just 5 years earlier. These costs include $176 billion in direct medical expenses. Managing prediabetes can help reverse this trend.</w:t>
      </w:r>
      <w:r w:rsidRPr="00F12D1B">
        <w:rPr>
          <w:rFonts w:ascii="Arial" w:hAnsi="Arial" w:cs="Arial"/>
          <w:sz w:val="13"/>
          <w:szCs w:val="13"/>
          <w:vertAlign w:val="superscript"/>
        </w:rPr>
        <w:t>5</w:t>
      </w:r>
    </w:p>
    <w:p w:rsidR="002463F1" w:rsidRPr="00F12D1B" w:rsidRDefault="002463F1" w:rsidP="00246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F12D1B">
        <w:rPr>
          <w:rFonts w:ascii="Arial" w:hAnsi="Arial" w:cs="Arial"/>
          <w:b/>
          <w:bCs/>
          <w:sz w:val="20"/>
          <w:szCs w:val="20"/>
        </w:rPr>
        <w:t>The Role of HCPs in Addressing Diabetes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Patients look to their primary care providers more than any other source for information on promoting health and preventing diseases, especially when they are faced with a serious, chronic condition like type </w:t>
      </w:r>
      <w:proofErr w:type="gramStart"/>
      <w:r w:rsidRPr="00F12D1B">
        <w:rPr>
          <w:rFonts w:ascii="Arial" w:hAnsi="Arial" w:cs="Arial"/>
          <w:sz w:val="22"/>
          <w:szCs w:val="22"/>
        </w:rPr>
        <w:t>2 diabetes.</w:t>
      </w:r>
      <w:r w:rsidRPr="00F12D1B">
        <w:rPr>
          <w:rFonts w:ascii="Arial" w:hAnsi="Arial" w:cs="Arial"/>
          <w:sz w:val="14"/>
          <w:szCs w:val="14"/>
          <w:vertAlign w:val="superscript"/>
        </w:rPr>
        <w:t>6</w:t>
      </w:r>
      <w:proofErr w:type="gramEnd"/>
      <w:r w:rsidRPr="00F12D1B">
        <w:rPr>
          <w:rFonts w:ascii="Arial" w:hAnsi="Arial" w:cs="Arial"/>
          <w:sz w:val="22"/>
          <w:szCs w:val="22"/>
        </w:rPr>
        <w:t xml:space="preserve"> 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Health care providers likely see patients every day who are living with prediabetes or are at high risk for type </w:t>
      </w:r>
      <w:proofErr w:type="gramStart"/>
      <w:r w:rsidRPr="00F12D1B">
        <w:rPr>
          <w:rFonts w:ascii="Arial" w:hAnsi="Arial" w:cs="Arial"/>
          <w:sz w:val="22"/>
          <w:szCs w:val="22"/>
        </w:rPr>
        <w:t>2 diabetes,</w:t>
      </w:r>
      <w:proofErr w:type="gramEnd"/>
      <w:r w:rsidRPr="00F12D1B">
        <w:rPr>
          <w:rFonts w:ascii="Arial" w:hAnsi="Arial" w:cs="Arial"/>
          <w:sz w:val="22"/>
          <w:szCs w:val="22"/>
        </w:rPr>
        <w:t xml:space="preserve"> and these patients don’t know it. As a health care provider, you play a vital role in helping to prevent or delay the onset of diabetes by assessing and discussing patients’ risk of type 2 diabetes, testing patients for prediabetes and recommending participation in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for those at risk.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Recommending your patients with prediabetes or those at risk for type 2 diabetes take part in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is simple. 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We will provide you with tools to help you relay information about the program and its benefits to your patients, including a fact sheet and a simple form to easily recommend that a patient join a local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</w:t>
      </w:r>
      <w:r w:rsidR="004F733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ifestyle change intervention</w:t>
      </w:r>
      <w:r w:rsidRPr="00F12D1B">
        <w:rPr>
          <w:rFonts w:ascii="Arial" w:hAnsi="Arial" w:cs="Arial"/>
          <w:sz w:val="22"/>
          <w:szCs w:val="22"/>
        </w:rPr>
        <w:t>.</w:t>
      </w:r>
    </w:p>
    <w:p w:rsidR="002463F1" w:rsidRPr="00F12D1B" w:rsidRDefault="002463F1" w:rsidP="002463F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12D1B">
        <w:rPr>
          <w:rFonts w:ascii="Arial" w:hAnsi="Arial" w:cs="Arial"/>
          <w:sz w:val="22"/>
          <w:szCs w:val="22"/>
        </w:rPr>
        <w:t xml:space="preserve">Patients can be referred to </w:t>
      </w:r>
      <w:r w:rsidRPr="00F12D1B">
        <w:rPr>
          <w:rFonts w:ascii="Arial" w:hAnsi="Arial" w:cs="Arial"/>
          <w:sz w:val="22"/>
          <w:szCs w:val="22"/>
          <w:highlight w:val="yellow"/>
        </w:rPr>
        <w:t>[</w:t>
      </w:r>
      <w:r w:rsidR="00DB0D47">
        <w:rPr>
          <w:rFonts w:ascii="Arial" w:hAnsi="Arial" w:cs="Arial"/>
          <w:sz w:val="22"/>
          <w:szCs w:val="22"/>
          <w:highlight w:val="yellow"/>
        </w:rPr>
        <w:t>Your Organiz</w:t>
      </w:r>
      <w:r w:rsidRPr="00F12D1B">
        <w:rPr>
          <w:rFonts w:ascii="Arial" w:hAnsi="Arial" w:cs="Arial"/>
          <w:sz w:val="22"/>
          <w:szCs w:val="22"/>
          <w:highlight w:val="yellow"/>
        </w:rPr>
        <w:t>ation/Program name]</w:t>
      </w:r>
      <w:r w:rsidRPr="00F12D1B">
        <w:rPr>
          <w:rFonts w:ascii="Arial" w:hAnsi="Arial" w:cs="Arial"/>
          <w:sz w:val="22"/>
          <w:szCs w:val="22"/>
        </w:rPr>
        <w:t xml:space="preserve"> if they are at least 18 years old, are overweight, and they present with risk factors for type 2 diabetes, or if they have been diagnosed with prediabetes or previously diagnosed with gestational diabetes. </w:t>
      </w:r>
    </w:p>
    <w:p w:rsidR="002463F1" w:rsidRDefault="002463F1" w:rsidP="002463F1">
      <w:r w:rsidRPr="00F12D1B">
        <w:rPr>
          <w:rFonts w:ascii="Arial" w:hAnsi="Arial" w:cs="Arial"/>
          <w:sz w:val="22"/>
          <w:szCs w:val="22"/>
        </w:rPr>
        <w:t xml:space="preserve">The current ICD-9 code 720.29 is associated with prediabetes. Prediabetes will be associated the ICD-10 code R73.09 covering “other abnormal glucose” following the conversion in October 2014.  </w:t>
      </w:r>
    </w:p>
    <w:p w:rsidR="005A0AE8" w:rsidRDefault="005A0AE8"/>
    <w:sectPr w:rsidR="005A0AE8" w:rsidSect="00A25B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B68"/>
    <w:multiLevelType w:val="hybridMultilevel"/>
    <w:tmpl w:val="863A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4BA"/>
    <w:multiLevelType w:val="hybridMultilevel"/>
    <w:tmpl w:val="61DA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F1"/>
    <w:rsid w:val="00005346"/>
    <w:rsid w:val="00185FDC"/>
    <w:rsid w:val="002463F1"/>
    <w:rsid w:val="00345605"/>
    <w:rsid w:val="00371D4D"/>
    <w:rsid w:val="004F7339"/>
    <w:rsid w:val="00511CDC"/>
    <w:rsid w:val="005A0AE8"/>
    <w:rsid w:val="0065330C"/>
    <w:rsid w:val="00683EDF"/>
    <w:rsid w:val="006E0A22"/>
    <w:rsid w:val="00753A78"/>
    <w:rsid w:val="008F706D"/>
    <w:rsid w:val="00A25BCF"/>
    <w:rsid w:val="00DB0D47"/>
    <w:rsid w:val="00E2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diabetes/preven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diabetes/atla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diabetes/atlas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diabetes/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2014-02-19T14:38:00Z</dcterms:created>
  <dcterms:modified xsi:type="dcterms:W3CDTF">2014-02-19T14:55:00Z</dcterms:modified>
</cp:coreProperties>
</file>