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7F" w:rsidRPr="00D746E3" w:rsidRDefault="0003757F" w:rsidP="00BD1CAC">
      <w:pPr>
        <w:jc w:val="right"/>
      </w:pPr>
      <w:bookmarkStart w:id="0" w:name="_GoBack"/>
      <w:bookmarkEnd w:id="0"/>
      <w:r w:rsidRPr="00D746E3">
        <w:rPr>
          <w:b/>
        </w:rPr>
        <w:t>For More Information</w:t>
      </w:r>
    </w:p>
    <w:p w:rsidR="0003757F" w:rsidRPr="00D746E3" w:rsidRDefault="0003757F" w:rsidP="00BD1CAC">
      <w:pPr>
        <w:ind w:left="720" w:hanging="720"/>
        <w:jc w:val="right"/>
      </w:pPr>
      <w:r w:rsidRPr="00D746E3">
        <w:t>At CDC Healthy Aging Program:</w:t>
      </w:r>
    </w:p>
    <w:p w:rsidR="0003757F" w:rsidRPr="00D746E3" w:rsidRDefault="0003757F" w:rsidP="00BD1CAC">
      <w:pPr>
        <w:ind w:left="720" w:hanging="720"/>
        <w:jc w:val="right"/>
      </w:pPr>
      <w:r w:rsidRPr="00A523C4">
        <w:t>cdcinfo@cdc.gov</w:t>
      </w:r>
    </w:p>
    <w:p w:rsidR="0003757F" w:rsidRPr="00D746E3" w:rsidRDefault="0003757F" w:rsidP="00BD1CAC">
      <w:pPr>
        <w:ind w:left="720" w:hanging="720"/>
        <w:jc w:val="right"/>
      </w:pPr>
      <w:r w:rsidRPr="00D746E3">
        <w:t xml:space="preserve">At Health Benefits ABCs: </w:t>
      </w:r>
    </w:p>
    <w:p w:rsidR="0003757F" w:rsidRPr="00D746E3" w:rsidRDefault="0003757F" w:rsidP="00BD1CAC">
      <w:pPr>
        <w:ind w:left="720" w:hanging="720"/>
        <w:jc w:val="right"/>
      </w:pPr>
      <w:r w:rsidRPr="00D746E3">
        <w:t xml:space="preserve">William F. Benson, 202-255-2001 </w:t>
      </w:r>
    </w:p>
    <w:p w:rsidR="0003757F" w:rsidRPr="00D746E3" w:rsidRDefault="0003757F" w:rsidP="00BD1CAC">
      <w:pPr>
        <w:ind w:left="720" w:hanging="720"/>
        <w:jc w:val="right"/>
      </w:pPr>
      <w:r w:rsidRPr="00A523C4">
        <w:t>tbcg@starpower.net</w:t>
      </w:r>
      <w:r w:rsidRPr="00D746E3">
        <w:t xml:space="preserve"> </w:t>
      </w:r>
    </w:p>
    <w:p w:rsidR="0003757F" w:rsidRPr="00D746E3" w:rsidRDefault="0003757F" w:rsidP="00BD1CAC">
      <w:pPr>
        <w:ind w:left="720" w:hanging="720"/>
        <w:jc w:val="right"/>
        <w:rPr>
          <w:sz w:val="22"/>
        </w:rPr>
      </w:pPr>
    </w:p>
    <w:p w:rsidR="0003757F" w:rsidRDefault="0003757F" w:rsidP="00BD1CAC">
      <w:pPr>
        <w:jc w:val="center"/>
        <w:rPr>
          <w:b/>
          <w:sz w:val="36"/>
        </w:rPr>
      </w:pPr>
      <w:r w:rsidRPr="00D746E3">
        <w:rPr>
          <w:b/>
          <w:sz w:val="36"/>
        </w:rPr>
        <w:t xml:space="preserve">CDC </w:t>
      </w:r>
      <w:r>
        <w:rPr>
          <w:b/>
          <w:sz w:val="36"/>
        </w:rPr>
        <w:t>Focuses on Need for Older Adults</w:t>
      </w:r>
    </w:p>
    <w:p w:rsidR="0003757F" w:rsidRPr="00D746E3" w:rsidRDefault="0003757F" w:rsidP="00BD1CAC">
      <w:pPr>
        <w:jc w:val="center"/>
        <w:rPr>
          <w:b/>
          <w:sz w:val="36"/>
        </w:rPr>
      </w:pPr>
      <w:r>
        <w:rPr>
          <w:b/>
          <w:sz w:val="36"/>
        </w:rPr>
        <w:t>To Receive Clinical Preventive Services</w:t>
      </w:r>
    </w:p>
    <w:p w:rsidR="0003757F" w:rsidRPr="00D746E3" w:rsidRDefault="0003757F" w:rsidP="00BD1CAC">
      <w:pPr>
        <w:spacing w:line="480" w:lineRule="auto"/>
        <w:jc w:val="center"/>
        <w:rPr>
          <w:sz w:val="16"/>
        </w:rPr>
      </w:pPr>
    </w:p>
    <w:p w:rsidR="0003757F" w:rsidRPr="000D6F44" w:rsidRDefault="0003757F" w:rsidP="007D2F37">
      <w:pPr>
        <w:spacing w:line="480" w:lineRule="auto"/>
        <w:ind w:left="720" w:hanging="720"/>
        <w:rPr>
          <w:b/>
          <w:sz w:val="22"/>
          <w:szCs w:val="22"/>
        </w:rPr>
      </w:pPr>
      <w:r w:rsidRPr="000D6F44">
        <w:rPr>
          <w:b/>
          <w:sz w:val="22"/>
          <w:szCs w:val="22"/>
        </w:rPr>
        <w:t xml:space="preserve">Did you </w:t>
      </w:r>
      <w:proofErr w:type="gramStart"/>
      <w:r w:rsidRPr="000D6F44">
        <w:rPr>
          <w:b/>
          <w:sz w:val="22"/>
          <w:szCs w:val="22"/>
        </w:rPr>
        <w:t>know…</w:t>
      </w:r>
      <w:proofErr w:type="gramEnd"/>
    </w:p>
    <w:p w:rsidR="0003757F" w:rsidRPr="000D6F44" w:rsidRDefault="00985507" w:rsidP="00BD1CAC">
      <w:pPr>
        <w:pStyle w:val="ListParagraph"/>
        <w:numPr>
          <w:ilvl w:val="0"/>
          <w:numId w:val="1"/>
        </w:numPr>
        <w:spacing w:after="0" w:line="240" w:lineRule="auto"/>
        <w:contextualSpacing w:val="0"/>
        <w:rPr>
          <w:rFonts w:ascii="Times New Roman" w:hAnsi="Times New Roman"/>
        </w:rPr>
      </w:pPr>
      <w:r>
        <w:rPr>
          <w:rFonts w:ascii="Times New Roman" w:hAnsi="Times New Roman"/>
          <w:bCs/>
        </w:rPr>
        <w:t xml:space="preserve">Fewer than half </w:t>
      </w:r>
      <w:r w:rsidR="00774AA1" w:rsidRPr="000D6F44">
        <w:rPr>
          <w:rFonts w:ascii="Times New Roman" w:hAnsi="Times New Roman"/>
          <w:bCs/>
        </w:rPr>
        <w:t xml:space="preserve">of adults age </w:t>
      </w:r>
      <w:r w:rsidR="0003757F" w:rsidRPr="000D6F44">
        <w:rPr>
          <w:rFonts w:ascii="Times New Roman" w:hAnsi="Times New Roman"/>
          <w:bCs/>
        </w:rPr>
        <w:t>65 years or older are up</w:t>
      </w:r>
      <w:r w:rsidR="00613341">
        <w:rPr>
          <w:rFonts w:ascii="Times New Roman" w:hAnsi="Times New Roman"/>
          <w:bCs/>
        </w:rPr>
        <w:t>-</w:t>
      </w:r>
      <w:r w:rsidR="0003757F" w:rsidRPr="000D6F44">
        <w:rPr>
          <w:rFonts w:ascii="Times New Roman" w:hAnsi="Times New Roman"/>
          <w:bCs/>
        </w:rPr>
        <w:t>to</w:t>
      </w:r>
      <w:r w:rsidR="00613341">
        <w:rPr>
          <w:rFonts w:ascii="Times New Roman" w:hAnsi="Times New Roman"/>
          <w:bCs/>
        </w:rPr>
        <w:t>-</w:t>
      </w:r>
      <w:r w:rsidR="0003757F" w:rsidRPr="000D6F44">
        <w:rPr>
          <w:rFonts w:ascii="Times New Roman" w:hAnsi="Times New Roman"/>
          <w:bCs/>
        </w:rPr>
        <w:t xml:space="preserve">date with </w:t>
      </w:r>
      <w:r w:rsidR="00431AA9">
        <w:rPr>
          <w:rFonts w:ascii="Times New Roman" w:hAnsi="Times New Roman"/>
          <w:bCs/>
        </w:rPr>
        <w:t xml:space="preserve">core </w:t>
      </w:r>
      <w:r w:rsidR="0003757F" w:rsidRPr="000D6F44">
        <w:rPr>
          <w:rFonts w:ascii="Times New Roman" w:hAnsi="Times New Roman"/>
          <w:bCs/>
        </w:rPr>
        <w:t>preventive services despite regular checkups (</w:t>
      </w:r>
      <w:r>
        <w:rPr>
          <w:rFonts w:ascii="Times New Roman" w:hAnsi="Times New Roman"/>
          <w:bCs/>
        </w:rPr>
        <w:t>HHS 2010</w:t>
      </w:r>
      <w:r w:rsidR="0003757F" w:rsidRPr="000D6F44">
        <w:rPr>
          <w:rFonts w:ascii="Times New Roman" w:hAnsi="Times New Roman"/>
          <w:bCs/>
        </w:rPr>
        <w:t>).</w:t>
      </w:r>
    </w:p>
    <w:p w:rsidR="0003757F" w:rsidRPr="000D6F44" w:rsidRDefault="00AC419A" w:rsidP="00BD1CAC">
      <w:pPr>
        <w:pStyle w:val="ListParagraph"/>
        <w:numPr>
          <w:ilvl w:val="0"/>
          <w:numId w:val="1"/>
        </w:numPr>
        <w:spacing w:after="0" w:line="240" w:lineRule="auto"/>
        <w:contextualSpacing w:val="0"/>
        <w:rPr>
          <w:rFonts w:ascii="Times New Roman" w:hAnsi="Times New Roman"/>
        </w:rPr>
      </w:pPr>
      <w:r>
        <w:rPr>
          <w:rFonts w:ascii="Times New Roman" w:hAnsi="Times New Roman"/>
          <w:kern w:val="24"/>
        </w:rPr>
        <w:t>Fewer than 30</w:t>
      </w:r>
      <w:r w:rsidR="00473595" w:rsidRPr="000D6F44">
        <w:rPr>
          <w:rFonts w:ascii="Times New Roman" w:hAnsi="Times New Roman"/>
          <w:kern w:val="24"/>
        </w:rPr>
        <w:t xml:space="preserve"> percent</w:t>
      </w:r>
      <w:r w:rsidR="0003757F" w:rsidRPr="000D6F44">
        <w:rPr>
          <w:rFonts w:ascii="Times New Roman" w:hAnsi="Times New Roman"/>
          <w:color w:val="000000"/>
        </w:rPr>
        <w:t xml:space="preserve"> </w:t>
      </w:r>
      <w:r w:rsidR="0003757F" w:rsidRPr="000D6F44">
        <w:rPr>
          <w:rFonts w:ascii="Times New Roman" w:hAnsi="Times New Roman"/>
          <w:kern w:val="24"/>
        </w:rPr>
        <w:t>of adults ages 50-64 are up-to-date with core clinical preventive services (</w:t>
      </w:r>
      <w:r w:rsidR="00473595" w:rsidRPr="000D6F44">
        <w:rPr>
          <w:rFonts w:ascii="Times New Roman" w:hAnsi="Times New Roman"/>
          <w:kern w:val="24"/>
        </w:rPr>
        <w:t>CDC</w:t>
      </w:r>
      <w:r w:rsidR="00B87DCF">
        <w:rPr>
          <w:rFonts w:ascii="Times New Roman" w:hAnsi="Times New Roman"/>
          <w:kern w:val="24"/>
        </w:rPr>
        <w:t xml:space="preserve"> 2011a</w:t>
      </w:r>
      <w:r w:rsidR="003A05E3" w:rsidRPr="000D6F44">
        <w:rPr>
          <w:rFonts w:ascii="Times New Roman" w:hAnsi="Times New Roman"/>
          <w:kern w:val="24"/>
        </w:rPr>
        <w:t>)</w:t>
      </w:r>
      <w:r w:rsidR="008635C4">
        <w:rPr>
          <w:rFonts w:ascii="Times New Roman" w:hAnsi="Times New Roman"/>
          <w:kern w:val="24"/>
        </w:rPr>
        <w:t>.</w:t>
      </w:r>
    </w:p>
    <w:p w:rsidR="00D56B5E" w:rsidRPr="000D6F44" w:rsidRDefault="0003757F" w:rsidP="00BD1CAC">
      <w:pPr>
        <w:pStyle w:val="ListParagraph"/>
        <w:numPr>
          <w:ilvl w:val="0"/>
          <w:numId w:val="1"/>
        </w:numPr>
        <w:spacing w:after="0" w:line="240" w:lineRule="auto"/>
        <w:contextualSpacing w:val="0"/>
        <w:rPr>
          <w:rFonts w:ascii="Times New Roman" w:hAnsi="Times New Roman"/>
          <w:kern w:val="24"/>
        </w:rPr>
      </w:pPr>
      <w:r w:rsidRPr="000D6F44">
        <w:rPr>
          <w:rFonts w:ascii="Times New Roman" w:hAnsi="Times New Roman"/>
          <w:kern w:val="24"/>
        </w:rPr>
        <w:t>There are persistent and significant racial and ethnic disparities in the receipt of services</w:t>
      </w:r>
      <w:r w:rsidR="001E36F4">
        <w:rPr>
          <w:rFonts w:ascii="Times New Roman" w:hAnsi="Times New Roman"/>
          <w:kern w:val="24"/>
        </w:rPr>
        <w:t xml:space="preserve"> such as vaccinations</w:t>
      </w:r>
      <w:r w:rsidR="00B87DCF">
        <w:rPr>
          <w:rFonts w:ascii="Times New Roman" w:hAnsi="Times New Roman"/>
          <w:kern w:val="24"/>
        </w:rPr>
        <w:t xml:space="preserve"> (AHRQ 2010)</w:t>
      </w:r>
      <w:r w:rsidRPr="000D6F44">
        <w:rPr>
          <w:rFonts w:ascii="Times New Roman" w:hAnsi="Times New Roman"/>
          <w:kern w:val="24"/>
        </w:rPr>
        <w:t xml:space="preserve">. </w:t>
      </w:r>
      <w:r w:rsidRPr="000D6F44">
        <w:rPr>
          <w:rFonts w:ascii="Times New Roman" w:hAnsi="Times New Roman"/>
          <w:color w:val="000000"/>
        </w:rPr>
        <w:t xml:space="preserve">For example, 44 percent of blacks reported </w:t>
      </w:r>
      <w:r w:rsidRPr="00834FE8">
        <w:rPr>
          <w:rFonts w:ascii="Times New Roman" w:hAnsi="Times New Roman"/>
          <w:bCs/>
          <w:color w:val="000000"/>
        </w:rPr>
        <w:t>not</w:t>
      </w:r>
      <w:r w:rsidRPr="000D6F44">
        <w:rPr>
          <w:rFonts w:ascii="Times New Roman" w:hAnsi="Times New Roman"/>
          <w:b/>
          <w:bCs/>
          <w:color w:val="000000"/>
        </w:rPr>
        <w:t xml:space="preserve"> </w:t>
      </w:r>
      <w:r w:rsidRPr="000D6F44">
        <w:rPr>
          <w:rFonts w:ascii="Times New Roman" w:hAnsi="Times New Roman"/>
          <w:color w:val="000000"/>
        </w:rPr>
        <w:t xml:space="preserve">receiving influenza vaccinations compared to 29 percent of whites, a 15 percent difference. For Hispanics, American Indian/Alaska Natives and </w:t>
      </w:r>
      <w:r w:rsidR="00595102">
        <w:rPr>
          <w:rFonts w:ascii="Times New Roman" w:hAnsi="Times New Roman"/>
          <w:color w:val="000000"/>
        </w:rPr>
        <w:t>“o</w:t>
      </w:r>
      <w:r w:rsidRPr="000D6F44">
        <w:rPr>
          <w:rFonts w:ascii="Times New Roman" w:hAnsi="Times New Roman"/>
          <w:color w:val="000000"/>
        </w:rPr>
        <w:t>ther,</w:t>
      </w:r>
      <w:r w:rsidR="00595102">
        <w:rPr>
          <w:rFonts w:ascii="Times New Roman" w:hAnsi="Times New Roman"/>
          <w:color w:val="000000"/>
        </w:rPr>
        <w:t>”</w:t>
      </w:r>
      <w:r w:rsidRPr="000D6F44">
        <w:rPr>
          <w:rFonts w:ascii="Times New Roman" w:hAnsi="Times New Roman"/>
          <w:color w:val="000000"/>
        </w:rPr>
        <w:t xml:space="preserve"> the difference was approximately 10 percent</w:t>
      </w:r>
      <w:r w:rsidR="00B87DCF">
        <w:rPr>
          <w:rFonts w:ascii="Times New Roman" w:hAnsi="Times New Roman"/>
          <w:color w:val="000000"/>
        </w:rPr>
        <w:t xml:space="preserve"> (CDC 2011b)</w:t>
      </w:r>
      <w:r w:rsidRPr="000D6F44">
        <w:rPr>
          <w:rFonts w:ascii="Times New Roman" w:hAnsi="Times New Roman"/>
          <w:color w:val="000000"/>
        </w:rPr>
        <w:t>.</w:t>
      </w:r>
    </w:p>
    <w:p w:rsidR="00BD1CAC" w:rsidRDefault="00BD1CAC" w:rsidP="00B314A2">
      <w:pPr>
        <w:ind w:firstLine="360"/>
        <w:rPr>
          <w:sz w:val="22"/>
          <w:szCs w:val="22"/>
        </w:rPr>
      </w:pPr>
    </w:p>
    <w:p w:rsidR="00087AD0" w:rsidRPr="00BC2D59" w:rsidRDefault="0003757F" w:rsidP="007D2F37">
      <w:pPr>
        <w:spacing w:line="480" w:lineRule="auto"/>
        <w:ind w:firstLine="360"/>
        <w:rPr>
          <w:sz w:val="22"/>
          <w:szCs w:val="22"/>
        </w:rPr>
      </w:pPr>
      <w:r w:rsidRPr="000D6F44">
        <w:rPr>
          <w:sz w:val="22"/>
          <w:szCs w:val="22"/>
        </w:rPr>
        <w:t xml:space="preserve">Clinical preventive services – </w:t>
      </w:r>
      <w:r w:rsidR="00D9078A">
        <w:rPr>
          <w:sz w:val="22"/>
          <w:szCs w:val="22"/>
        </w:rPr>
        <w:t xml:space="preserve">which include </w:t>
      </w:r>
      <w:r w:rsidRPr="000D6F44">
        <w:rPr>
          <w:sz w:val="22"/>
          <w:szCs w:val="22"/>
        </w:rPr>
        <w:t xml:space="preserve">immunizations, screening </w:t>
      </w:r>
      <w:r w:rsidR="001E36F4">
        <w:rPr>
          <w:sz w:val="22"/>
          <w:szCs w:val="22"/>
        </w:rPr>
        <w:t xml:space="preserve">tests </w:t>
      </w:r>
      <w:r w:rsidRPr="000D6F44">
        <w:rPr>
          <w:sz w:val="22"/>
          <w:szCs w:val="22"/>
        </w:rPr>
        <w:t xml:space="preserve">and </w:t>
      </w:r>
      <w:r w:rsidR="001E36F4">
        <w:rPr>
          <w:sz w:val="22"/>
          <w:szCs w:val="22"/>
        </w:rPr>
        <w:t xml:space="preserve">counseling </w:t>
      </w:r>
      <w:r w:rsidR="009D3CE1" w:rsidRPr="000D6F44">
        <w:rPr>
          <w:sz w:val="22"/>
          <w:szCs w:val="22"/>
        </w:rPr>
        <w:t>to prevent the onset or progression</w:t>
      </w:r>
      <w:r w:rsidR="00D9078A">
        <w:rPr>
          <w:sz w:val="22"/>
          <w:szCs w:val="22"/>
        </w:rPr>
        <w:t xml:space="preserve"> of</w:t>
      </w:r>
      <w:r w:rsidR="009D3CE1" w:rsidRPr="000D6F44">
        <w:rPr>
          <w:sz w:val="22"/>
          <w:szCs w:val="22"/>
        </w:rPr>
        <w:t xml:space="preserve"> </w:t>
      </w:r>
      <w:r w:rsidR="001E36F4">
        <w:rPr>
          <w:sz w:val="22"/>
          <w:szCs w:val="22"/>
        </w:rPr>
        <w:t xml:space="preserve">disease and disability </w:t>
      </w:r>
      <w:r w:rsidRPr="000D6F44">
        <w:rPr>
          <w:sz w:val="22"/>
          <w:szCs w:val="22"/>
        </w:rPr>
        <w:t xml:space="preserve">– are </w:t>
      </w:r>
      <w:r w:rsidR="00D9078A">
        <w:rPr>
          <w:sz w:val="22"/>
          <w:szCs w:val="22"/>
        </w:rPr>
        <w:t xml:space="preserve">important tools </w:t>
      </w:r>
      <w:r w:rsidRPr="000D6F44">
        <w:rPr>
          <w:sz w:val="22"/>
          <w:szCs w:val="22"/>
        </w:rPr>
        <w:t xml:space="preserve">to maintain the health of older adults. These preventive services – </w:t>
      </w:r>
      <w:r w:rsidR="001E36F4">
        <w:rPr>
          <w:sz w:val="22"/>
          <w:szCs w:val="22"/>
        </w:rPr>
        <w:t xml:space="preserve">primarily </w:t>
      </w:r>
      <w:r w:rsidRPr="000D6F44">
        <w:rPr>
          <w:sz w:val="22"/>
          <w:szCs w:val="22"/>
        </w:rPr>
        <w:t xml:space="preserve">delivered in a clinical setting – </w:t>
      </w:r>
      <w:r w:rsidR="001E36F4">
        <w:rPr>
          <w:sz w:val="22"/>
          <w:szCs w:val="22"/>
        </w:rPr>
        <w:t xml:space="preserve">are an important component </w:t>
      </w:r>
      <w:r w:rsidRPr="000D6F44">
        <w:rPr>
          <w:sz w:val="22"/>
          <w:szCs w:val="22"/>
        </w:rPr>
        <w:t>of</w:t>
      </w:r>
      <w:r w:rsidR="00BC2D59">
        <w:rPr>
          <w:sz w:val="22"/>
          <w:szCs w:val="22"/>
        </w:rPr>
        <w:t xml:space="preserve"> the National Prevention Strategy</w:t>
      </w:r>
      <w:r w:rsidR="0010550D">
        <w:rPr>
          <w:sz w:val="22"/>
          <w:szCs w:val="22"/>
        </w:rPr>
        <w:t>. Released by the National Prevention, Health Promotion, and Public Health Council in June 2011, the National Prevention Strategy is a comprehensive plan to help increase the number of Americans who are healthy at every stage of life.</w:t>
      </w:r>
      <w:r w:rsidR="00BC2D59">
        <w:rPr>
          <w:sz w:val="22"/>
          <w:szCs w:val="22"/>
        </w:rPr>
        <w:t xml:space="preserve"> </w:t>
      </w:r>
      <w:r w:rsidRPr="000D6F44">
        <w:rPr>
          <w:sz w:val="22"/>
          <w:szCs w:val="22"/>
        </w:rPr>
        <w:t xml:space="preserve">Clinical preventive services can help lower </w:t>
      </w:r>
      <w:r w:rsidR="00400951">
        <w:rPr>
          <w:sz w:val="22"/>
          <w:szCs w:val="22"/>
        </w:rPr>
        <w:t xml:space="preserve">health </w:t>
      </w:r>
      <w:r w:rsidR="00400951" w:rsidRPr="000D6F44">
        <w:rPr>
          <w:sz w:val="22"/>
          <w:szCs w:val="22"/>
        </w:rPr>
        <w:t>risks</w:t>
      </w:r>
      <w:r w:rsidRPr="000D6F44">
        <w:rPr>
          <w:sz w:val="22"/>
          <w:szCs w:val="22"/>
        </w:rPr>
        <w:t xml:space="preserve"> and costs of treating chronic disease, as well as prevent or delay the onset of disease.</w:t>
      </w:r>
      <w:r w:rsidR="00087AD0" w:rsidRPr="000D6F44">
        <w:rPr>
          <w:sz w:val="22"/>
          <w:szCs w:val="22"/>
        </w:rPr>
        <w:t xml:space="preserve"> </w:t>
      </w:r>
    </w:p>
    <w:p w:rsidR="00DE12DC" w:rsidRDefault="0019121C" w:rsidP="007D2F37">
      <w:pPr>
        <w:spacing w:line="480" w:lineRule="auto"/>
        <w:ind w:firstLine="360"/>
        <w:rPr>
          <w:sz w:val="22"/>
          <w:szCs w:val="22"/>
        </w:rPr>
      </w:pPr>
      <w:r>
        <w:rPr>
          <w:sz w:val="22"/>
          <w:szCs w:val="22"/>
        </w:rPr>
        <w:t>The Guide to Community Preventive Services</w:t>
      </w:r>
      <w:r w:rsidR="003A1A44">
        <w:rPr>
          <w:sz w:val="22"/>
          <w:szCs w:val="22"/>
        </w:rPr>
        <w:t xml:space="preserve"> (CDC </w:t>
      </w:r>
      <w:r w:rsidR="003E7792">
        <w:rPr>
          <w:sz w:val="22"/>
          <w:szCs w:val="22"/>
        </w:rPr>
        <w:t>2005</w:t>
      </w:r>
      <w:r w:rsidR="003A1A44">
        <w:rPr>
          <w:sz w:val="22"/>
          <w:szCs w:val="22"/>
        </w:rPr>
        <w:t>)</w:t>
      </w:r>
      <w:r w:rsidR="008517E6">
        <w:rPr>
          <w:sz w:val="22"/>
          <w:szCs w:val="22"/>
        </w:rPr>
        <w:t xml:space="preserve"> developed by the Task Force on Community Preventive Services</w:t>
      </w:r>
      <w:r>
        <w:rPr>
          <w:sz w:val="22"/>
          <w:szCs w:val="22"/>
        </w:rPr>
        <w:t>, clinical guidelines, and n</w:t>
      </w:r>
      <w:r w:rsidR="003A05E3" w:rsidRPr="000D6F44">
        <w:rPr>
          <w:sz w:val="22"/>
          <w:szCs w:val="22"/>
        </w:rPr>
        <w:t xml:space="preserve">umerous studies </w:t>
      </w:r>
      <w:r w:rsidR="00BC73C2">
        <w:rPr>
          <w:sz w:val="22"/>
          <w:szCs w:val="22"/>
        </w:rPr>
        <w:t xml:space="preserve">call </w:t>
      </w:r>
      <w:r w:rsidR="0003757F" w:rsidRPr="000D6F44">
        <w:rPr>
          <w:sz w:val="22"/>
          <w:szCs w:val="22"/>
        </w:rPr>
        <w:t xml:space="preserve">for </w:t>
      </w:r>
      <w:r w:rsidR="00F1713D">
        <w:rPr>
          <w:sz w:val="22"/>
          <w:szCs w:val="22"/>
        </w:rPr>
        <w:t>routine</w:t>
      </w:r>
      <w:r w:rsidR="00F1713D" w:rsidRPr="000D6F44">
        <w:rPr>
          <w:sz w:val="22"/>
          <w:szCs w:val="22"/>
        </w:rPr>
        <w:t xml:space="preserve"> </w:t>
      </w:r>
      <w:r w:rsidR="0003757F" w:rsidRPr="000D6F44">
        <w:rPr>
          <w:sz w:val="22"/>
          <w:szCs w:val="22"/>
        </w:rPr>
        <w:t>preventive services for older adults</w:t>
      </w:r>
      <w:r w:rsidR="00321E94">
        <w:rPr>
          <w:sz w:val="22"/>
          <w:szCs w:val="22"/>
        </w:rPr>
        <w:t xml:space="preserve"> </w:t>
      </w:r>
      <w:r w:rsidR="008635C4" w:rsidRPr="000D6F44">
        <w:rPr>
          <w:sz w:val="22"/>
          <w:szCs w:val="22"/>
        </w:rPr>
        <w:t xml:space="preserve">– </w:t>
      </w:r>
      <w:r w:rsidR="0003757F" w:rsidRPr="000D6F44">
        <w:rPr>
          <w:sz w:val="22"/>
          <w:szCs w:val="22"/>
        </w:rPr>
        <w:t xml:space="preserve">and Medicare covers many of </w:t>
      </w:r>
      <w:r w:rsidR="00595102">
        <w:rPr>
          <w:sz w:val="22"/>
          <w:szCs w:val="22"/>
        </w:rPr>
        <w:t>them</w:t>
      </w:r>
      <w:r w:rsidR="008635C4" w:rsidRPr="000D6F44">
        <w:rPr>
          <w:sz w:val="22"/>
          <w:szCs w:val="22"/>
        </w:rPr>
        <w:t xml:space="preserve"> – </w:t>
      </w:r>
      <w:r w:rsidR="0003757F" w:rsidRPr="000D6F44">
        <w:rPr>
          <w:sz w:val="22"/>
          <w:szCs w:val="22"/>
        </w:rPr>
        <w:t>yet gaps remain in the number of older adults receiving recommended services</w:t>
      </w:r>
      <w:r w:rsidR="0005776E">
        <w:rPr>
          <w:sz w:val="22"/>
          <w:szCs w:val="22"/>
        </w:rPr>
        <w:t xml:space="preserve"> (</w:t>
      </w:r>
      <w:r w:rsidR="00870B11">
        <w:rPr>
          <w:sz w:val="22"/>
          <w:szCs w:val="22"/>
        </w:rPr>
        <w:t>HHS 2011</w:t>
      </w:r>
      <w:r w:rsidR="0005776E">
        <w:rPr>
          <w:sz w:val="22"/>
          <w:szCs w:val="22"/>
        </w:rPr>
        <w:t>)</w:t>
      </w:r>
      <w:r w:rsidR="0003757F" w:rsidRPr="000D6F44">
        <w:rPr>
          <w:sz w:val="22"/>
          <w:szCs w:val="22"/>
        </w:rPr>
        <w:t>.</w:t>
      </w:r>
      <w:r w:rsidR="00961048" w:rsidRPr="000D6F44">
        <w:rPr>
          <w:sz w:val="22"/>
          <w:szCs w:val="22"/>
        </w:rPr>
        <w:t xml:space="preserve"> These gaps</w:t>
      </w:r>
      <w:r w:rsidR="00087AD0" w:rsidRPr="000D6F44">
        <w:rPr>
          <w:sz w:val="22"/>
          <w:szCs w:val="22"/>
        </w:rPr>
        <w:t xml:space="preserve"> are </w:t>
      </w:r>
      <w:r w:rsidR="00921365" w:rsidRPr="000D6F44">
        <w:rPr>
          <w:sz w:val="22"/>
          <w:szCs w:val="22"/>
        </w:rPr>
        <w:t>greater</w:t>
      </w:r>
      <w:r w:rsidR="00087AD0" w:rsidRPr="000D6F44">
        <w:rPr>
          <w:sz w:val="22"/>
          <w:szCs w:val="22"/>
        </w:rPr>
        <w:t xml:space="preserve"> for certain population</w:t>
      </w:r>
      <w:r w:rsidR="00DE12DC">
        <w:rPr>
          <w:sz w:val="22"/>
          <w:szCs w:val="22"/>
        </w:rPr>
        <w:t>s</w:t>
      </w:r>
      <w:r w:rsidR="00087AD0" w:rsidRPr="000D6F44">
        <w:rPr>
          <w:sz w:val="22"/>
          <w:szCs w:val="22"/>
        </w:rPr>
        <w:t xml:space="preserve"> who are </w:t>
      </w:r>
      <w:r w:rsidR="00961048" w:rsidRPr="000D6F44">
        <w:rPr>
          <w:sz w:val="22"/>
          <w:szCs w:val="22"/>
        </w:rPr>
        <w:t>social</w:t>
      </w:r>
      <w:r w:rsidR="00087AD0" w:rsidRPr="000D6F44">
        <w:rPr>
          <w:sz w:val="22"/>
          <w:szCs w:val="22"/>
        </w:rPr>
        <w:t>ly</w:t>
      </w:r>
      <w:r w:rsidR="00961048" w:rsidRPr="000D6F44">
        <w:rPr>
          <w:sz w:val="22"/>
          <w:szCs w:val="22"/>
        </w:rPr>
        <w:t>, economic</w:t>
      </w:r>
      <w:r w:rsidR="00087AD0" w:rsidRPr="000D6F44">
        <w:rPr>
          <w:sz w:val="22"/>
          <w:szCs w:val="22"/>
        </w:rPr>
        <w:t>ally</w:t>
      </w:r>
      <w:r w:rsidR="00961048" w:rsidRPr="000D6F44">
        <w:rPr>
          <w:sz w:val="22"/>
          <w:szCs w:val="22"/>
        </w:rPr>
        <w:t xml:space="preserve"> and/or environmental</w:t>
      </w:r>
      <w:r w:rsidR="00921365" w:rsidRPr="000D6F44">
        <w:rPr>
          <w:sz w:val="22"/>
          <w:szCs w:val="22"/>
        </w:rPr>
        <w:t>ly</w:t>
      </w:r>
      <w:r w:rsidR="00961048" w:rsidRPr="000D6F44">
        <w:rPr>
          <w:sz w:val="22"/>
          <w:szCs w:val="22"/>
        </w:rPr>
        <w:t xml:space="preserve"> disadvantage</w:t>
      </w:r>
      <w:r w:rsidR="00087AD0" w:rsidRPr="000D6F44">
        <w:rPr>
          <w:sz w:val="22"/>
          <w:szCs w:val="22"/>
        </w:rPr>
        <w:t>d</w:t>
      </w:r>
      <w:r w:rsidR="00081030">
        <w:rPr>
          <w:sz w:val="22"/>
          <w:szCs w:val="22"/>
        </w:rPr>
        <w:t xml:space="preserve"> (</w:t>
      </w:r>
      <w:proofErr w:type="spellStart"/>
      <w:r w:rsidR="00081030">
        <w:rPr>
          <w:sz w:val="22"/>
          <w:szCs w:val="22"/>
        </w:rPr>
        <w:t>Tebo</w:t>
      </w:r>
      <w:proofErr w:type="spellEnd"/>
      <w:r w:rsidR="00081030">
        <w:rPr>
          <w:sz w:val="22"/>
          <w:szCs w:val="22"/>
        </w:rPr>
        <w:t xml:space="preserve"> 2011)</w:t>
      </w:r>
      <w:r w:rsidR="00961048" w:rsidRPr="000D6F44">
        <w:rPr>
          <w:sz w:val="22"/>
          <w:szCs w:val="22"/>
        </w:rPr>
        <w:t>.</w:t>
      </w:r>
      <w:r w:rsidR="00087AD0" w:rsidRPr="000D6F44">
        <w:rPr>
          <w:sz w:val="22"/>
          <w:szCs w:val="22"/>
        </w:rPr>
        <w:t xml:space="preserve"> </w:t>
      </w:r>
      <w:r w:rsidR="0003757F" w:rsidRPr="000D6F44">
        <w:rPr>
          <w:sz w:val="22"/>
          <w:szCs w:val="22"/>
        </w:rPr>
        <w:t>Low-income and ethnic and racial minorities</w:t>
      </w:r>
      <w:r w:rsidR="008E6384" w:rsidRPr="000D6F44">
        <w:rPr>
          <w:sz w:val="22"/>
          <w:szCs w:val="22"/>
        </w:rPr>
        <w:t>, as well as people who live in rural or remote areas,</w:t>
      </w:r>
      <w:r w:rsidR="0003757F" w:rsidRPr="000D6F44">
        <w:rPr>
          <w:sz w:val="22"/>
          <w:szCs w:val="22"/>
        </w:rPr>
        <w:t xml:space="preserve"> are less likely to receive these services than the overall population</w:t>
      </w:r>
      <w:r w:rsidR="00081030">
        <w:rPr>
          <w:sz w:val="22"/>
          <w:szCs w:val="22"/>
        </w:rPr>
        <w:t xml:space="preserve"> (</w:t>
      </w:r>
      <w:r w:rsidR="00C30430">
        <w:rPr>
          <w:sz w:val="22"/>
          <w:szCs w:val="22"/>
        </w:rPr>
        <w:t xml:space="preserve">AHRQ 2010, </w:t>
      </w:r>
      <w:r w:rsidR="00081030">
        <w:rPr>
          <w:sz w:val="22"/>
          <w:szCs w:val="22"/>
        </w:rPr>
        <w:t>AHRQ 2009)</w:t>
      </w:r>
      <w:r w:rsidR="0003757F" w:rsidRPr="000D6F44">
        <w:rPr>
          <w:sz w:val="22"/>
          <w:szCs w:val="22"/>
        </w:rPr>
        <w:t xml:space="preserve">. </w:t>
      </w:r>
    </w:p>
    <w:p w:rsidR="00A27A98" w:rsidRDefault="00A24449" w:rsidP="007D2F37">
      <w:pPr>
        <w:spacing w:line="480" w:lineRule="auto"/>
        <w:ind w:firstLine="360"/>
        <w:rPr>
          <w:sz w:val="22"/>
          <w:szCs w:val="22"/>
        </w:rPr>
      </w:pPr>
      <w:r>
        <w:rPr>
          <w:sz w:val="22"/>
          <w:szCs w:val="22"/>
        </w:rPr>
        <w:lastRenderedPageBreak/>
        <w:t>“</w:t>
      </w:r>
      <w:r w:rsidR="00A131D4" w:rsidRPr="00C30430">
        <w:rPr>
          <w:sz w:val="22"/>
          <w:szCs w:val="22"/>
        </w:rPr>
        <w:t>Ensuring that all adults have access to and receive recommended clinical preventive services such as immunizations and screenings for chronic conditions should be a cornerstone of our public health efforts to pro</w:t>
      </w:r>
      <w:r w:rsidR="00A131D4" w:rsidRPr="00A131D4">
        <w:rPr>
          <w:sz w:val="22"/>
          <w:szCs w:val="22"/>
        </w:rPr>
        <w:t>mote health and prevent disease</w:t>
      </w:r>
      <w:r w:rsidR="00321E94">
        <w:rPr>
          <w:sz w:val="22"/>
          <w:szCs w:val="22"/>
        </w:rPr>
        <w:t>,</w:t>
      </w:r>
      <w:r>
        <w:rPr>
          <w:sz w:val="22"/>
          <w:szCs w:val="22"/>
        </w:rPr>
        <w:t>”</w:t>
      </w:r>
      <w:r w:rsidR="00321E94">
        <w:rPr>
          <w:sz w:val="22"/>
          <w:szCs w:val="22"/>
        </w:rPr>
        <w:t xml:space="preserve"> according</w:t>
      </w:r>
      <w:r w:rsidR="00D245CA">
        <w:rPr>
          <w:sz w:val="22"/>
          <w:szCs w:val="22"/>
        </w:rPr>
        <w:t xml:space="preserve"> to Lynda Anderson, PhD, Director of the Healthy Aging Program in CDC’s Division of </w:t>
      </w:r>
      <w:r w:rsidR="00A131D4">
        <w:rPr>
          <w:sz w:val="22"/>
          <w:szCs w:val="22"/>
        </w:rPr>
        <w:t xml:space="preserve">Adult and Community </w:t>
      </w:r>
      <w:r w:rsidR="00D245CA">
        <w:rPr>
          <w:sz w:val="22"/>
          <w:szCs w:val="22"/>
        </w:rPr>
        <w:t>Health</w:t>
      </w:r>
      <w:r w:rsidR="00D245CA" w:rsidRPr="00A27A98">
        <w:rPr>
          <w:sz w:val="22"/>
          <w:szCs w:val="22"/>
        </w:rPr>
        <w:t>, National Center for Chronic Disease Prevention and</w:t>
      </w:r>
      <w:r w:rsidR="00C44B98">
        <w:rPr>
          <w:sz w:val="22"/>
          <w:szCs w:val="22"/>
        </w:rPr>
        <w:t xml:space="preserve"> </w:t>
      </w:r>
      <w:r w:rsidR="00D245CA" w:rsidRPr="00A27A98">
        <w:rPr>
          <w:sz w:val="22"/>
          <w:szCs w:val="22"/>
        </w:rPr>
        <w:t>Health Promotion</w:t>
      </w:r>
      <w:r w:rsidR="00D245CA">
        <w:rPr>
          <w:sz w:val="22"/>
          <w:szCs w:val="22"/>
        </w:rPr>
        <w:t xml:space="preserve">. </w:t>
      </w:r>
    </w:p>
    <w:p w:rsidR="0030406F" w:rsidRPr="000D6F44" w:rsidRDefault="0003757F" w:rsidP="007D2F37">
      <w:pPr>
        <w:spacing w:line="480" w:lineRule="auto"/>
        <w:ind w:firstLine="360"/>
        <w:rPr>
          <w:sz w:val="22"/>
          <w:szCs w:val="22"/>
        </w:rPr>
      </w:pPr>
      <w:r w:rsidRPr="000D6F44">
        <w:rPr>
          <w:sz w:val="22"/>
          <w:szCs w:val="22"/>
        </w:rPr>
        <w:t xml:space="preserve">This issue brief will look at the importance of clinical preventive services, barriers to receiving them and examine </w:t>
      </w:r>
      <w:r w:rsidR="00595102">
        <w:rPr>
          <w:sz w:val="22"/>
          <w:szCs w:val="22"/>
        </w:rPr>
        <w:t xml:space="preserve">possible </w:t>
      </w:r>
      <w:r w:rsidRPr="000D6F44">
        <w:rPr>
          <w:sz w:val="22"/>
          <w:szCs w:val="22"/>
        </w:rPr>
        <w:t>solutions</w:t>
      </w:r>
      <w:r w:rsidR="00500610">
        <w:rPr>
          <w:sz w:val="22"/>
          <w:szCs w:val="22"/>
        </w:rPr>
        <w:t xml:space="preserve"> to </w:t>
      </w:r>
      <w:r w:rsidR="0005776E">
        <w:rPr>
          <w:sz w:val="22"/>
          <w:szCs w:val="22"/>
        </w:rPr>
        <w:t xml:space="preserve">address the gaps and </w:t>
      </w:r>
      <w:r w:rsidR="00500610">
        <w:rPr>
          <w:sz w:val="22"/>
          <w:szCs w:val="22"/>
        </w:rPr>
        <w:t xml:space="preserve">ensure that more older adults receive </w:t>
      </w:r>
      <w:r w:rsidR="00765888">
        <w:rPr>
          <w:sz w:val="22"/>
          <w:szCs w:val="22"/>
        </w:rPr>
        <w:t xml:space="preserve">these </w:t>
      </w:r>
      <w:r w:rsidR="00500610">
        <w:rPr>
          <w:sz w:val="22"/>
          <w:szCs w:val="22"/>
        </w:rPr>
        <w:t>services.</w:t>
      </w:r>
      <w:r w:rsidR="00087AD0" w:rsidRPr="000D6F44">
        <w:rPr>
          <w:sz w:val="22"/>
          <w:szCs w:val="22"/>
        </w:rPr>
        <w:t xml:space="preserve"> </w:t>
      </w:r>
    </w:p>
    <w:p w:rsidR="0003757F" w:rsidRPr="00FD59EE" w:rsidRDefault="0003757F" w:rsidP="007D2F37">
      <w:pPr>
        <w:spacing w:line="480" w:lineRule="auto"/>
        <w:rPr>
          <w:b/>
          <w:sz w:val="24"/>
          <w:szCs w:val="24"/>
        </w:rPr>
      </w:pPr>
      <w:r w:rsidRPr="00FD59EE">
        <w:rPr>
          <w:b/>
          <w:sz w:val="24"/>
          <w:szCs w:val="24"/>
        </w:rPr>
        <w:t>WHAT ARE CLINICAL PREVENTIVE SERVICES?</w:t>
      </w:r>
    </w:p>
    <w:p w:rsidR="0003757F" w:rsidRPr="000D6F44" w:rsidRDefault="0003757F" w:rsidP="00BD1CAC">
      <w:pPr>
        <w:ind w:left="720" w:right="720"/>
        <w:jc w:val="center"/>
        <w:rPr>
          <w:sz w:val="22"/>
          <w:szCs w:val="22"/>
        </w:rPr>
      </w:pPr>
      <w:r w:rsidRPr="00D82F15">
        <w:rPr>
          <w:i/>
          <w:sz w:val="22"/>
          <w:szCs w:val="22"/>
        </w:rPr>
        <w:t>“It is always better to catch an</w:t>
      </w:r>
      <w:r w:rsidR="00431AA9" w:rsidRPr="00D82F15">
        <w:rPr>
          <w:i/>
          <w:sz w:val="22"/>
          <w:szCs w:val="22"/>
        </w:rPr>
        <w:t>d treat an</w:t>
      </w:r>
      <w:r w:rsidRPr="00D82F15">
        <w:rPr>
          <w:i/>
          <w:sz w:val="22"/>
          <w:szCs w:val="22"/>
        </w:rPr>
        <w:t xml:space="preserve"> illness earlier rather than later,</w:t>
      </w:r>
      <w:r w:rsidR="00492997" w:rsidRPr="00D82F15">
        <w:rPr>
          <w:i/>
          <w:sz w:val="22"/>
          <w:szCs w:val="22"/>
        </w:rPr>
        <w:br/>
      </w:r>
      <w:r w:rsidRPr="00D82F15">
        <w:rPr>
          <w:i/>
          <w:sz w:val="22"/>
          <w:szCs w:val="22"/>
        </w:rPr>
        <w:t xml:space="preserve"> </w:t>
      </w:r>
      <w:r w:rsidR="00431AA9" w:rsidRPr="00D82F15">
        <w:rPr>
          <w:i/>
          <w:sz w:val="22"/>
          <w:szCs w:val="22"/>
        </w:rPr>
        <w:t xml:space="preserve">and clinical </w:t>
      </w:r>
      <w:r w:rsidR="00D9078A">
        <w:rPr>
          <w:i/>
          <w:sz w:val="22"/>
          <w:szCs w:val="22"/>
        </w:rPr>
        <w:t>preventive services</w:t>
      </w:r>
      <w:r w:rsidRPr="00D82F15">
        <w:rPr>
          <w:i/>
          <w:sz w:val="22"/>
          <w:szCs w:val="22"/>
        </w:rPr>
        <w:t xml:space="preserve"> </w:t>
      </w:r>
      <w:r w:rsidR="00431AA9" w:rsidRPr="00D82F15">
        <w:rPr>
          <w:i/>
          <w:sz w:val="22"/>
          <w:szCs w:val="22"/>
        </w:rPr>
        <w:t>enable us to do that</w:t>
      </w:r>
      <w:r w:rsidRPr="00492997">
        <w:rPr>
          <w:sz w:val="22"/>
          <w:szCs w:val="22"/>
        </w:rPr>
        <w:t>.” — Doug</w:t>
      </w:r>
      <w:r w:rsidR="00670313">
        <w:rPr>
          <w:sz w:val="22"/>
          <w:szCs w:val="22"/>
        </w:rPr>
        <w:t>las</w:t>
      </w:r>
      <w:r w:rsidRPr="00492997">
        <w:rPr>
          <w:sz w:val="22"/>
          <w:szCs w:val="22"/>
        </w:rPr>
        <w:t xml:space="preserve"> Shenson</w:t>
      </w:r>
      <w:r w:rsidR="00B86137">
        <w:rPr>
          <w:sz w:val="22"/>
          <w:szCs w:val="22"/>
        </w:rPr>
        <w:t>, MD</w:t>
      </w:r>
      <w:r w:rsidR="0005776E">
        <w:rPr>
          <w:sz w:val="22"/>
          <w:szCs w:val="22"/>
        </w:rPr>
        <w:t>, MPH</w:t>
      </w:r>
    </w:p>
    <w:p w:rsidR="00B314A2" w:rsidRDefault="00B314A2" w:rsidP="00B314A2">
      <w:pPr>
        <w:ind w:firstLine="360"/>
        <w:rPr>
          <w:sz w:val="22"/>
          <w:szCs w:val="22"/>
        </w:rPr>
      </w:pPr>
    </w:p>
    <w:p w:rsidR="00686818" w:rsidRDefault="0003757F" w:rsidP="007D2F37">
      <w:pPr>
        <w:spacing w:line="480" w:lineRule="auto"/>
        <w:ind w:firstLine="360"/>
        <w:rPr>
          <w:sz w:val="22"/>
          <w:szCs w:val="22"/>
        </w:rPr>
      </w:pPr>
      <w:r w:rsidRPr="000D6F44">
        <w:rPr>
          <w:sz w:val="22"/>
          <w:szCs w:val="22"/>
        </w:rPr>
        <w:t xml:space="preserve">Clinical preventive services can help prevent chronic disease, </w:t>
      </w:r>
      <w:r w:rsidR="00D9078A">
        <w:rPr>
          <w:sz w:val="22"/>
          <w:szCs w:val="22"/>
        </w:rPr>
        <w:t>reduce associated complications and</w:t>
      </w:r>
      <w:r w:rsidRPr="000D6F44">
        <w:rPr>
          <w:sz w:val="22"/>
          <w:szCs w:val="22"/>
        </w:rPr>
        <w:t xml:space="preserve"> lower functional limitations </w:t>
      </w:r>
      <w:r w:rsidR="00F25183">
        <w:rPr>
          <w:sz w:val="22"/>
          <w:szCs w:val="22"/>
        </w:rPr>
        <w:t xml:space="preserve">(Cohen 2009, </w:t>
      </w:r>
      <w:proofErr w:type="spellStart"/>
      <w:r w:rsidR="00F25183">
        <w:rPr>
          <w:sz w:val="22"/>
          <w:szCs w:val="22"/>
        </w:rPr>
        <w:t>Maciosek</w:t>
      </w:r>
      <w:proofErr w:type="spellEnd"/>
      <w:r w:rsidR="00F25183">
        <w:rPr>
          <w:sz w:val="22"/>
          <w:szCs w:val="22"/>
        </w:rPr>
        <w:t xml:space="preserve"> 2010)</w:t>
      </w:r>
      <w:r w:rsidRPr="000D6F44">
        <w:rPr>
          <w:sz w:val="22"/>
          <w:szCs w:val="22"/>
        </w:rPr>
        <w:t>.</w:t>
      </w:r>
      <w:r w:rsidR="00570A27">
        <w:rPr>
          <w:sz w:val="22"/>
          <w:szCs w:val="22"/>
        </w:rPr>
        <w:t xml:space="preserve"> </w:t>
      </w:r>
      <w:r w:rsidR="00686818" w:rsidRPr="000D6F44">
        <w:rPr>
          <w:sz w:val="22"/>
          <w:szCs w:val="22"/>
        </w:rPr>
        <w:t>“Clinical preventive services usually save money</w:t>
      </w:r>
      <w:r w:rsidR="00595102">
        <w:rPr>
          <w:sz w:val="22"/>
          <w:szCs w:val="22"/>
        </w:rPr>
        <w:t>,</w:t>
      </w:r>
      <w:r w:rsidR="00765888" w:rsidRPr="000D6F44">
        <w:rPr>
          <w:sz w:val="22"/>
          <w:szCs w:val="22"/>
        </w:rPr>
        <w:t xml:space="preserve"> </w:t>
      </w:r>
      <w:r w:rsidR="00686818" w:rsidRPr="000D6F44">
        <w:rPr>
          <w:sz w:val="22"/>
          <w:szCs w:val="22"/>
        </w:rPr>
        <w:t xml:space="preserve">although that isn’t the </w:t>
      </w:r>
      <w:r w:rsidR="00445CCA">
        <w:rPr>
          <w:sz w:val="22"/>
          <w:szCs w:val="22"/>
        </w:rPr>
        <w:t xml:space="preserve">only </w:t>
      </w:r>
      <w:r w:rsidR="00686818" w:rsidRPr="000D6F44">
        <w:rPr>
          <w:sz w:val="22"/>
          <w:szCs w:val="22"/>
        </w:rPr>
        <w:t xml:space="preserve">rationale for them, because they </w:t>
      </w:r>
      <w:r w:rsidR="00445CCA">
        <w:rPr>
          <w:sz w:val="22"/>
          <w:szCs w:val="22"/>
        </w:rPr>
        <w:t xml:space="preserve">also </w:t>
      </w:r>
      <w:r w:rsidR="00C431D1">
        <w:rPr>
          <w:sz w:val="22"/>
          <w:szCs w:val="22"/>
        </w:rPr>
        <w:t xml:space="preserve">can </w:t>
      </w:r>
      <w:r w:rsidR="00686818" w:rsidRPr="000D6F44">
        <w:rPr>
          <w:sz w:val="22"/>
          <w:szCs w:val="22"/>
        </w:rPr>
        <w:t xml:space="preserve">prevent illness or shorten the course of illness,” explained </w:t>
      </w:r>
      <w:r w:rsidR="00595102" w:rsidRPr="000D6F44">
        <w:rPr>
          <w:sz w:val="22"/>
          <w:szCs w:val="22"/>
        </w:rPr>
        <w:t xml:space="preserve">Steven P. Wallace, PhD, associate director for </w:t>
      </w:r>
      <w:r w:rsidR="008115F3">
        <w:rPr>
          <w:sz w:val="22"/>
          <w:szCs w:val="22"/>
        </w:rPr>
        <w:t xml:space="preserve">the University of California at Los Angeles </w:t>
      </w:r>
      <w:r w:rsidR="00595102" w:rsidRPr="000D6F44">
        <w:rPr>
          <w:sz w:val="22"/>
          <w:szCs w:val="22"/>
        </w:rPr>
        <w:t>Center for Health Policy Research.</w:t>
      </w:r>
    </w:p>
    <w:p w:rsidR="0003757F" w:rsidRPr="000D6F44" w:rsidRDefault="0003757F" w:rsidP="007D2F37">
      <w:pPr>
        <w:spacing w:line="480" w:lineRule="auto"/>
        <w:ind w:firstLine="360"/>
        <w:rPr>
          <w:sz w:val="22"/>
          <w:szCs w:val="22"/>
        </w:rPr>
      </w:pPr>
      <w:r w:rsidRPr="000D6F44">
        <w:rPr>
          <w:sz w:val="22"/>
          <w:szCs w:val="22"/>
        </w:rPr>
        <w:t>Older adults who obtain clinical preventive services and practice healthy behaviors are more likely to remain healthy and functionally independent</w:t>
      </w:r>
      <w:r w:rsidR="00AA660B">
        <w:rPr>
          <w:sz w:val="22"/>
          <w:szCs w:val="22"/>
        </w:rPr>
        <w:t xml:space="preserve"> (</w:t>
      </w:r>
      <w:proofErr w:type="spellStart"/>
      <w:r w:rsidR="00AA660B">
        <w:rPr>
          <w:sz w:val="22"/>
          <w:szCs w:val="22"/>
        </w:rPr>
        <w:t>Cranksaw</w:t>
      </w:r>
      <w:proofErr w:type="spellEnd"/>
      <w:r w:rsidR="00AA660B">
        <w:rPr>
          <w:sz w:val="22"/>
          <w:szCs w:val="22"/>
        </w:rPr>
        <w:t xml:space="preserve"> 2002, CDC 2011b)</w:t>
      </w:r>
      <w:r w:rsidRPr="000D6F44">
        <w:rPr>
          <w:sz w:val="22"/>
          <w:szCs w:val="22"/>
        </w:rPr>
        <w:t>.</w:t>
      </w:r>
    </w:p>
    <w:p w:rsidR="00473595" w:rsidRPr="00D82F15" w:rsidRDefault="00774AA1" w:rsidP="007D2F37">
      <w:pPr>
        <w:spacing w:line="480" w:lineRule="auto"/>
        <w:ind w:firstLine="360"/>
        <w:rPr>
          <w:sz w:val="22"/>
          <w:szCs w:val="22"/>
        </w:rPr>
      </w:pPr>
      <w:r w:rsidRPr="000D6F44">
        <w:rPr>
          <w:sz w:val="22"/>
          <w:szCs w:val="22"/>
        </w:rPr>
        <w:t>By 2015, one of every five Americans will be between the ages of 50 and 64</w:t>
      </w:r>
      <w:r w:rsidR="00C3336D">
        <w:rPr>
          <w:sz w:val="22"/>
          <w:szCs w:val="22"/>
        </w:rPr>
        <w:t xml:space="preserve"> (CDC 2009)</w:t>
      </w:r>
      <w:r w:rsidRPr="000D6F44">
        <w:rPr>
          <w:sz w:val="22"/>
          <w:szCs w:val="22"/>
        </w:rPr>
        <w:t>.</w:t>
      </w:r>
      <w:r w:rsidR="001448B6" w:rsidRPr="000D6F44">
        <w:rPr>
          <w:sz w:val="22"/>
          <w:szCs w:val="22"/>
        </w:rPr>
        <w:t xml:space="preserve"> </w:t>
      </w:r>
      <w:r w:rsidR="002B4EB2" w:rsidRPr="000D6F44">
        <w:rPr>
          <w:sz w:val="22"/>
          <w:szCs w:val="22"/>
        </w:rPr>
        <w:t>By 2030</w:t>
      </w:r>
      <w:r w:rsidR="002B4EB2">
        <w:rPr>
          <w:sz w:val="22"/>
          <w:szCs w:val="22"/>
        </w:rPr>
        <w:t>, the number of</w:t>
      </w:r>
      <w:r w:rsidR="00A131D4">
        <w:rPr>
          <w:sz w:val="22"/>
          <w:szCs w:val="22"/>
        </w:rPr>
        <w:t xml:space="preserve"> </w:t>
      </w:r>
      <w:r w:rsidR="002B4EB2">
        <w:rPr>
          <w:sz w:val="22"/>
          <w:szCs w:val="22"/>
        </w:rPr>
        <w:t xml:space="preserve">U.S. </w:t>
      </w:r>
      <w:proofErr w:type="gramStart"/>
      <w:r w:rsidR="002B4EB2">
        <w:rPr>
          <w:sz w:val="22"/>
          <w:szCs w:val="22"/>
        </w:rPr>
        <w:t>adults</w:t>
      </w:r>
      <w:proofErr w:type="gramEnd"/>
      <w:r w:rsidR="002B4EB2">
        <w:rPr>
          <w:sz w:val="22"/>
          <w:szCs w:val="22"/>
        </w:rPr>
        <w:t xml:space="preserve"> age</w:t>
      </w:r>
      <w:r w:rsidR="002B4EB2" w:rsidRPr="000D6F44">
        <w:rPr>
          <w:sz w:val="22"/>
          <w:szCs w:val="22"/>
        </w:rPr>
        <w:t xml:space="preserve"> 65 or older will more than double to about 7</w:t>
      </w:r>
      <w:r w:rsidR="002B4EB2">
        <w:rPr>
          <w:sz w:val="22"/>
          <w:szCs w:val="22"/>
        </w:rPr>
        <w:t>2</w:t>
      </w:r>
      <w:r w:rsidR="002B4EB2" w:rsidRPr="000D6F44">
        <w:rPr>
          <w:sz w:val="22"/>
          <w:szCs w:val="22"/>
        </w:rPr>
        <w:t xml:space="preserve"> million</w:t>
      </w:r>
      <w:r w:rsidR="00C97E4C">
        <w:rPr>
          <w:sz w:val="22"/>
          <w:szCs w:val="22"/>
        </w:rPr>
        <w:t xml:space="preserve"> (AoA 2011</w:t>
      </w:r>
      <w:r w:rsidR="00652BFA">
        <w:rPr>
          <w:sz w:val="22"/>
          <w:szCs w:val="22"/>
        </w:rPr>
        <w:t>a</w:t>
      </w:r>
      <w:r w:rsidR="00C97E4C">
        <w:rPr>
          <w:sz w:val="22"/>
          <w:szCs w:val="22"/>
        </w:rPr>
        <w:t>)</w:t>
      </w:r>
      <w:r w:rsidR="00423D58">
        <w:rPr>
          <w:sz w:val="22"/>
          <w:szCs w:val="22"/>
        </w:rPr>
        <w:t>.</w:t>
      </w:r>
      <w:r w:rsidR="002B4EB2" w:rsidRPr="000D6F44">
        <w:rPr>
          <w:sz w:val="22"/>
          <w:szCs w:val="22"/>
        </w:rPr>
        <w:t xml:space="preserve"> </w:t>
      </w:r>
      <w:r w:rsidR="001448B6" w:rsidRPr="000D6F44">
        <w:rPr>
          <w:sz w:val="22"/>
          <w:szCs w:val="22"/>
        </w:rPr>
        <w:t>This rapid increase in the number of older adults will put pressure on public health</w:t>
      </w:r>
      <w:r w:rsidR="00891BD1">
        <w:rPr>
          <w:sz w:val="22"/>
          <w:szCs w:val="22"/>
        </w:rPr>
        <w:t xml:space="preserve"> and</w:t>
      </w:r>
      <w:r w:rsidR="001448B6" w:rsidRPr="000D6F44">
        <w:rPr>
          <w:sz w:val="22"/>
          <w:szCs w:val="22"/>
        </w:rPr>
        <w:t xml:space="preserve"> health care systems</w:t>
      </w:r>
      <w:r w:rsidR="00891BD1">
        <w:rPr>
          <w:sz w:val="22"/>
          <w:szCs w:val="22"/>
        </w:rPr>
        <w:t>, and the aging services network</w:t>
      </w:r>
      <w:r w:rsidR="001448B6" w:rsidRPr="000D6F44">
        <w:rPr>
          <w:sz w:val="22"/>
          <w:szCs w:val="22"/>
        </w:rPr>
        <w:t xml:space="preserve">, making the role of </w:t>
      </w:r>
      <w:r w:rsidR="00921365" w:rsidRPr="000D6F44">
        <w:rPr>
          <w:sz w:val="22"/>
          <w:szCs w:val="22"/>
        </w:rPr>
        <w:t xml:space="preserve">clinical </w:t>
      </w:r>
      <w:r w:rsidR="001448B6" w:rsidRPr="000D6F44">
        <w:rPr>
          <w:sz w:val="22"/>
          <w:szCs w:val="22"/>
        </w:rPr>
        <w:t>preventive services even more im</w:t>
      </w:r>
      <w:r w:rsidR="001448B6" w:rsidRPr="00D82F15">
        <w:rPr>
          <w:sz w:val="22"/>
          <w:szCs w:val="22"/>
        </w:rPr>
        <w:t>portant.</w:t>
      </w:r>
    </w:p>
    <w:p w:rsidR="0003757F" w:rsidRPr="000D6F44" w:rsidRDefault="0003757F" w:rsidP="007D2F37">
      <w:pPr>
        <w:spacing w:line="480" w:lineRule="auto"/>
        <w:ind w:firstLine="360"/>
        <w:rPr>
          <w:sz w:val="22"/>
          <w:szCs w:val="22"/>
        </w:rPr>
      </w:pPr>
      <w:r w:rsidRPr="00D82F15">
        <w:rPr>
          <w:sz w:val="22"/>
          <w:szCs w:val="22"/>
        </w:rPr>
        <w:t>“</w:t>
      </w:r>
      <w:r w:rsidR="00D82F15" w:rsidRPr="00D82F15">
        <w:rPr>
          <w:sz w:val="22"/>
          <w:szCs w:val="22"/>
        </w:rPr>
        <w:t>It is always better to</w:t>
      </w:r>
      <w:r w:rsidR="00DD11ED">
        <w:rPr>
          <w:sz w:val="22"/>
          <w:szCs w:val="22"/>
        </w:rPr>
        <w:t xml:space="preserve"> identify</w:t>
      </w:r>
      <w:r w:rsidR="00D82F15" w:rsidRPr="00D82F15">
        <w:rPr>
          <w:sz w:val="22"/>
          <w:szCs w:val="22"/>
        </w:rPr>
        <w:t xml:space="preserve"> and treat an illness earlier rather than later,</w:t>
      </w:r>
      <w:r w:rsidR="00D82F15">
        <w:rPr>
          <w:sz w:val="22"/>
          <w:szCs w:val="22"/>
        </w:rPr>
        <w:t xml:space="preserve"> </w:t>
      </w:r>
      <w:r w:rsidR="00D9078A">
        <w:rPr>
          <w:sz w:val="22"/>
          <w:szCs w:val="22"/>
        </w:rPr>
        <w:t>and clinical preventive</w:t>
      </w:r>
      <w:r w:rsidR="00D82F15" w:rsidRPr="00D82F15">
        <w:rPr>
          <w:sz w:val="22"/>
          <w:szCs w:val="22"/>
        </w:rPr>
        <w:t xml:space="preserve"> </w:t>
      </w:r>
      <w:r w:rsidR="00D9078A">
        <w:rPr>
          <w:sz w:val="22"/>
          <w:szCs w:val="22"/>
        </w:rPr>
        <w:t xml:space="preserve">services </w:t>
      </w:r>
      <w:r w:rsidR="00D82F15" w:rsidRPr="00D82F15">
        <w:rPr>
          <w:sz w:val="22"/>
          <w:szCs w:val="22"/>
        </w:rPr>
        <w:t xml:space="preserve">enable us to do that,” </w:t>
      </w:r>
      <w:r w:rsidRPr="000D6F44">
        <w:rPr>
          <w:sz w:val="22"/>
          <w:szCs w:val="22"/>
        </w:rPr>
        <w:t xml:space="preserve">explained Doug Shenson, MD, MPH, </w:t>
      </w:r>
      <w:r w:rsidR="00A523C4">
        <w:rPr>
          <w:sz w:val="22"/>
          <w:szCs w:val="22"/>
        </w:rPr>
        <w:t xml:space="preserve">a founder and the </w:t>
      </w:r>
      <w:r w:rsidRPr="000D6F44">
        <w:rPr>
          <w:sz w:val="22"/>
          <w:szCs w:val="22"/>
        </w:rPr>
        <w:t>executive director of the SPARC (Sickness Prevention Achieved through Regional Collaboration)</w:t>
      </w:r>
      <w:r w:rsidR="004247DD">
        <w:rPr>
          <w:sz w:val="22"/>
          <w:szCs w:val="22"/>
        </w:rPr>
        <w:t xml:space="preserve"> initiative</w:t>
      </w:r>
      <w:r w:rsidRPr="000D6F44">
        <w:rPr>
          <w:sz w:val="22"/>
          <w:szCs w:val="22"/>
        </w:rPr>
        <w:t xml:space="preserve">. </w:t>
      </w:r>
      <w:r w:rsidR="0005776E">
        <w:rPr>
          <w:sz w:val="22"/>
          <w:szCs w:val="22"/>
        </w:rPr>
        <w:t>“</w:t>
      </w:r>
      <w:r w:rsidRPr="000D6F44">
        <w:rPr>
          <w:sz w:val="22"/>
          <w:szCs w:val="22"/>
        </w:rPr>
        <w:t>Clinical preventive services can be important in three stages of disease</w:t>
      </w:r>
      <w:r w:rsidR="00A523C4">
        <w:rPr>
          <w:sz w:val="22"/>
          <w:szCs w:val="22"/>
        </w:rPr>
        <w:t xml:space="preserve"> development</w:t>
      </w:r>
      <w:r w:rsidRPr="000D6F44">
        <w:rPr>
          <w:sz w:val="22"/>
          <w:szCs w:val="22"/>
        </w:rPr>
        <w:t>,</w:t>
      </w:r>
      <w:r w:rsidR="0005776E">
        <w:rPr>
          <w:sz w:val="22"/>
          <w:szCs w:val="22"/>
        </w:rPr>
        <w:t>”</w:t>
      </w:r>
      <w:r w:rsidRPr="000D6F44">
        <w:rPr>
          <w:sz w:val="22"/>
          <w:szCs w:val="22"/>
        </w:rPr>
        <w:t xml:space="preserve"> he said.</w:t>
      </w:r>
      <w:r w:rsidR="00B5623B">
        <w:rPr>
          <w:sz w:val="22"/>
          <w:szCs w:val="22"/>
        </w:rPr>
        <w:t xml:space="preserve"> These are:</w:t>
      </w:r>
    </w:p>
    <w:p w:rsidR="0003757F" w:rsidRPr="000D6F44" w:rsidRDefault="0003757F" w:rsidP="007D2F37">
      <w:pPr>
        <w:pStyle w:val="ListParagraph"/>
        <w:numPr>
          <w:ilvl w:val="0"/>
          <w:numId w:val="7"/>
        </w:numPr>
        <w:spacing w:after="0" w:line="480" w:lineRule="auto"/>
        <w:rPr>
          <w:rFonts w:ascii="Times New Roman" w:hAnsi="Times New Roman"/>
        </w:rPr>
      </w:pPr>
      <w:r w:rsidRPr="000D6F44">
        <w:rPr>
          <w:rFonts w:ascii="Times New Roman" w:hAnsi="Times New Roman"/>
        </w:rPr>
        <w:lastRenderedPageBreak/>
        <w:t>Before disease occurs (</w:t>
      </w:r>
      <w:r w:rsidR="00670313">
        <w:rPr>
          <w:rFonts w:ascii="Times New Roman" w:hAnsi="Times New Roman"/>
        </w:rPr>
        <w:t xml:space="preserve">for example, </w:t>
      </w:r>
      <w:r w:rsidRPr="000D6F44">
        <w:rPr>
          <w:rFonts w:ascii="Times New Roman" w:hAnsi="Times New Roman"/>
        </w:rPr>
        <w:t>vaccinatio</w:t>
      </w:r>
      <w:r w:rsidR="00EA323A">
        <w:rPr>
          <w:rFonts w:ascii="Times New Roman" w:hAnsi="Times New Roman"/>
        </w:rPr>
        <w:t>ns)</w:t>
      </w:r>
      <w:r w:rsidR="00B5623B">
        <w:rPr>
          <w:rFonts w:ascii="Times New Roman" w:hAnsi="Times New Roman"/>
        </w:rPr>
        <w:t>;</w:t>
      </w:r>
    </w:p>
    <w:p w:rsidR="0003757F" w:rsidRPr="000D6F44" w:rsidRDefault="0003757F" w:rsidP="007D2F37">
      <w:pPr>
        <w:pStyle w:val="ListParagraph"/>
        <w:numPr>
          <w:ilvl w:val="0"/>
          <w:numId w:val="7"/>
        </w:numPr>
        <w:spacing w:after="0" w:line="480" w:lineRule="auto"/>
        <w:rPr>
          <w:rFonts w:ascii="Times New Roman" w:hAnsi="Times New Roman"/>
        </w:rPr>
      </w:pPr>
      <w:r w:rsidRPr="000D6F44">
        <w:rPr>
          <w:rFonts w:ascii="Times New Roman" w:hAnsi="Times New Roman"/>
        </w:rPr>
        <w:t>Before disease is clinically evident (for example, breast cancer screening)</w:t>
      </w:r>
      <w:r w:rsidR="00B5623B">
        <w:rPr>
          <w:rFonts w:ascii="Times New Roman" w:hAnsi="Times New Roman"/>
        </w:rPr>
        <w:t>; and</w:t>
      </w:r>
    </w:p>
    <w:p w:rsidR="0003757F" w:rsidRPr="000D6F44" w:rsidRDefault="009E60A6" w:rsidP="007D2F37">
      <w:pPr>
        <w:pStyle w:val="ListParagraph"/>
        <w:numPr>
          <w:ilvl w:val="0"/>
          <w:numId w:val="7"/>
        </w:numPr>
        <w:spacing w:after="0" w:line="480" w:lineRule="auto"/>
        <w:rPr>
          <w:rFonts w:ascii="Times New Roman" w:hAnsi="Times New Roman"/>
        </w:rPr>
      </w:pPr>
      <w:r>
        <w:rPr>
          <w:rFonts w:ascii="Times New Roman" w:hAnsi="Times New Roman"/>
        </w:rPr>
        <w:t>Once disease is established but before it has made its maximal impact (such as vision screening for eye diseases in persons living with diabetes</w:t>
      </w:r>
      <w:r w:rsidR="00EA323A">
        <w:rPr>
          <w:rFonts w:ascii="Times New Roman" w:hAnsi="Times New Roman"/>
        </w:rPr>
        <w:t>)</w:t>
      </w:r>
      <w:r w:rsidR="006E5E16">
        <w:rPr>
          <w:rFonts w:ascii="Times New Roman" w:hAnsi="Times New Roman"/>
        </w:rPr>
        <w:t>.</w:t>
      </w:r>
    </w:p>
    <w:p w:rsidR="0003757F" w:rsidRPr="000D6F44" w:rsidRDefault="00670313" w:rsidP="007D2F37">
      <w:pPr>
        <w:spacing w:line="480" w:lineRule="auto"/>
        <w:ind w:firstLine="360"/>
        <w:rPr>
          <w:sz w:val="22"/>
          <w:szCs w:val="22"/>
        </w:rPr>
      </w:pPr>
      <w:r>
        <w:rPr>
          <w:rFonts w:ascii="Georgia" w:hAnsi="Georgia"/>
          <w:color w:val="000000"/>
        </w:rPr>
        <w:t xml:space="preserve">Clinical preventive services recommended for older adults can be identified through an easy-to-use, on-line, interactive tool made available by the Agency for Health Research and Quality.  This tool can be accessed on CDC’s Healthy Aging Program website at </w:t>
      </w:r>
      <w:hyperlink r:id="rId9" w:history="1">
        <w:r w:rsidRPr="00C20141">
          <w:rPr>
            <w:rStyle w:val="Hyperlink"/>
            <w:rFonts w:ascii="Georgia" w:hAnsi="Georgia"/>
          </w:rPr>
          <w:t>www.cdc.gov/aging</w:t>
        </w:r>
      </w:hyperlink>
      <w:r>
        <w:rPr>
          <w:rFonts w:ascii="Georgia" w:hAnsi="Georgia"/>
          <w:color w:val="000000"/>
        </w:rPr>
        <w:t xml:space="preserve"> (see right column - AHRQ </w:t>
      </w:r>
      <w:proofErr w:type="spellStart"/>
      <w:r>
        <w:rPr>
          <w:rFonts w:ascii="Georgia" w:hAnsi="Georgia"/>
          <w:color w:val="000000"/>
        </w:rPr>
        <w:t>ePSS</w:t>
      </w:r>
      <w:proofErr w:type="spellEnd"/>
      <w:r>
        <w:rPr>
          <w:rFonts w:ascii="Georgia" w:hAnsi="Georgia"/>
          <w:color w:val="000000"/>
        </w:rPr>
        <w:t xml:space="preserve">).  Services include but are not limited to </w:t>
      </w:r>
      <w:r w:rsidR="00E57521">
        <w:rPr>
          <w:rFonts w:ascii="Georgia" w:hAnsi="Georgia"/>
          <w:color w:val="000000"/>
        </w:rPr>
        <w:t>influenza and pneumococcal vaccinations, colorectal cancer screening and, additionally for women, breast cancer screening.</w:t>
      </w:r>
      <w:r w:rsidR="00E57521" w:rsidRPr="000D6F44" w:rsidDel="00E57521">
        <w:rPr>
          <w:sz w:val="22"/>
          <w:szCs w:val="22"/>
        </w:rPr>
        <w:t xml:space="preserve"> </w:t>
      </w:r>
    </w:p>
    <w:p w:rsidR="0003757F" w:rsidRPr="00FD59EE" w:rsidRDefault="0003757F" w:rsidP="007D2F37">
      <w:pPr>
        <w:keepNext/>
        <w:spacing w:line="480" w:lineRule="auto"/>
        <w:ind w:left="720" w:hanging="720"/>
        <w:rPr>
          <w:b/>
          <w:sz w:val="24"/>
          <w:szCs w:val="24"/>
        </w:rPr>
      </w:pPr>
      <w:r w:rsidRPr="00FD59EE">
        <w:rPr>
          <w:b/>
          <w:sz w:val="24"/>
          <w:szCs w:val="24"/>
        </w:rPr>
        <w:t>SCREENING GUIDELINES</w:t>
      </w:r>
      <w:r w:rsidR="001212C8">
        <w:rPr>
          <w:b/>
          <w:sz w:val="24"/>
          <w:szCs w:val="24"/>
        </w:rPr>
        <w:t xml:space="preserve"> AND RECOMMENDATIONS</w:t>
      </w:r>
    </w:p>
    <w:p w:rsidR="00BB1791" w:rsidRDefault="00BB1791" w:rsidP="007D2F37">
      <w:pPr>
        <w:spacing w:line="480" w:lineRule="auto"/>
        <w:ind w:firstLine="360"/>
        <w:rPr>
          <w:sz w:val="22"/>
          <w:szCs w:val="22"/>
        </w:rPr>
      </w:pPr>
      <w:r w:rsidRPr="000D6F44">
        <w:rPr>
          <w:sz w:val="22"/>
          <w:szCs w:val="22"/>
        </w:rPr>
        <w:t>“Clinical preventive services have been well studied</w:t>
      </w:r>
      <w:r>
        <w:rPr>
          <w:sz w:val="22"/>
          <w:szCs w:val="22"/>
        </w:rPr>
        <w:t>. W</w:t>
      </w:r>
      <w:r w:rsidRPr="000D6F44">
        <w:rPr>
          <w:sz w:val="22"/>
          <w:szCs w:val="22"/>
        </w:rPr>
        <w:t xml:space="preserve">e </w:t>
      </w:r>
      <w:r>
        <w:rPr>
          <w:sz w:val="22"/>
          <w:szCs w:val="22"/>
        </w:rPr>
        <w:t>know</w:t>
      </w:r>
      <w:r w:rsidRPr="000D6F44">
        <w:rPr>
          <w:sz w:val="22"/>
          <w:szCs w:val="22"/>
        </w:rPr>
        <w:t xml:space="preserve"> which are the most effective</w:t>
      </w:r>
      <w:r>
        <w:rPr>
          <w:sz w:val="22"/>
          <w:szCs w:val="22"/>
        </w:rPr>
        <w:t>, and the g</w:t>
      </w:r>
      <w:r w:rsidRPr="000D6F44">
        <w:rPr>
          <w:sz w:val="22"/>
          <w:szCs w:val="22"/>
        </w:rPr>
        <w:t>uidelines are based on those findings,” Dr. Shen</w:t>
      </w:r>
      <w:r>
        <w:rPr>
          <w:sz w:val="22"/>
          <w:szCs w:val="22"/>
        </w:rPr>
        <w:t>s</w:t>
      </w:r>
      <w:r w:rsidRPr="000D6F44">
        <w:rPr>
          <w:sz w:val="22"/>
          <w:szCs w:val="22"/>
        </w:rPr>
        <w:t xml:space="preserve">on said. Guidelines are determined by evaluating the benefits and risks of each service. The benefits of the test must outweigh potential harm. For example, a </w:t>
      </w:r>
      <w:r w:rsidR="00AE3DE9">
        <w:rPr>
          <w:sz w:val="22"/>
          <w:szCs w:val="22"/>
        </w:rPr>
        <w:t xml:space="preserve">questionable </w:t>
      </w:r>
      <w:r w:rsidR="00A523C4">
        <w:rPr>
          <w:sz w:val="22"/>
          <w:szCs w:val="22"/>
        </w:rPr>
        <w:t>mammogram result</w:t>
      </w:r>
      <w:r w:rsidRPr="000D6F44">
        <w:rPr>
          <w:sz w:val="22"/>
          <w:szCs w:val="22"/>
        </w:rPr>
        <w:t xml:space="preserve"> might lead to an unnecessary biopsy, which has its own risks. Family history is also </w:t>
      </w:r>
      <w:r>
        <w:rPr>
          <w:sz w:val="22"/>
          <w:szCs w:val="22"/>
        </w:rPr>
        <w:t>important</w:t>
      </w:r>
      <w:r w:rsidRPr="000D6F44">
        <w:rPr>
          <w:sz w:val="22"/>
          <w:szCs w:val="22"/>
        </w:rPr>
        <w:t xml:space="preserve">. “A family history of breast cancer </w:t>
      </w:r>
      <w:r>
        <w:rPr>
          <w:sz w:val="22"/>
          <w:szCs w:val="22"/>
        </w:rPr>
        <w:t xml:space="preserve">might </w:t>
      </w:r>
      <w:r w:rsidRPr="000D6F44">
        <w:rPr>
          <w:sz w:val="22"/>
          <w:szCs w:val="22"/>
        </w:rPr>
        <w:t xml:space="preserve">require </w:t>
      </w:r>
      <w:r>
        <w:rPr>
          <w:sz w:val="22"/>
          <w:szCs w:val="22"/>
        </w:rPr>
        <w:t xml:space="preserve">use of </w:t>
      </w:r>
      <w:r w:rsidRPr="000D6F44">
        <w:rPr>
          <w:sz w:val="22"/>
          <w:szCs w:val="22"/>
        </w:rPr>
        <w:t>preventive services</w:t>
      </w:r>
      <w:r>
        <w:rPr>
          <w:sz w:val="22"/>
          <w:szCs w:val="22"/>
        </w:rPr>
        <w:t xml:space="preserve"> such as screening at an earlier age than is routinely recommended</w:t>
      </w:r>
      <w:r w:rsidRPr="000D6F44">
        <w:rPr>
          <w:sz w:val="22"/>
          <w:szCs w:val="22"/>
        </w:rPr>
        <w:t xml:space="preserve">,” Dr. Shenson said. </w:t>
      </w:r>
    </w:p>
    <w:p w:rsidR="00BB1791" w:rsidRPr="000D6F44" w:rsidRDefault="00BB1791" w:rsidP="007D2F37">
      <w:pPr>
        <w:spacing w:line="480" w:lineRule="auto"/>
        <w:ind w:firstLine="360"/>
        <w:rPr>
          <w:sz w:val="22"/>
          <w:szCs w:val="22"/>
        </w:rPr>
      </w:pPr>
      <w:r>
        <w:rPr>
          <w:sz w:val="22"/>
          <w:szCs w:val="22"/>
        </w:rPr>
        <w:t xml:space="preserve">Recommendations are </w:t>
      </w:r>
      <w:r w:rsidRPr="000D6F44">
        <w:rPr>
          <w:sz w:val="22"/>
          <w:szCs w:val="22"/>
        </w:rPr>
        <w:t>issued by the U.S. Preventive Services Task Force (USPSTF) and the Advisory Committee on Immunization Practices (ACIP). The USPSTF reviews the scientific evidence for clinical preventive services and develops recommendations for primary care clinicians and health systems, while the ACIP issues recommendations for the routine administration of vaccines to children and adults.</w:t>
      </w:r>
    </w:p>
    <w:p w:rsidR="00697DAD" w:rsidRPr="000D6F44" w:rsidRDefault="00BC73C2" w:rsidP="007D2F37">
      <w:pPr>
        <w:pStyle w:val="Default"/>
        <w:spacing w:line="480" w:lineRule="auto"/>
        <w:ind w:firstLine="360"/>
        <w:rPr>
          <w:rFonts w:ascii="Times New Roman" w:eastAsia="Times New Roman" w:hAnsi="Times New Roman" w:cs="Times New Roman"/>
          <w:sz w:val="22"/>
          <w:szCs w:val="22"/>
        </w:rPr>
      </w:pPr>
      <w:r>
        <w:rPr>
          <w:rFonts w:ascii="Times New Roman" w:hAnsi="Times New Roman" w:cs="Times New Roman"/>
          <w:sz w:val="22"/>
          <w:szCs w:val="22"/>
        </w:rPr>
        <w:t>The section on older adult</w:t>
      </w:r>
      <w:r w:rsidR="00321E94">
        <w:rPr>
          <w:rFonts w:ascii="Times New Roman" w:hAnsi="Times New Roman" w:cs="Times New Roman"/>
          <w:sz w:val="22"/>
          <w:szCs w:val="22"/>
        </w:rPr>
        <w:t>s</w:t>
      </w:r>
      <w:r>
        <w:rPr>
          <w:rFonts w:ascii="Times New Roman" w:hAnsi="Times New Roman" w:cs="Times New Roman"/>
          <w:sz w:val="22"/>
          <w:szCs w:val="22"/>
        </w:rPr>
        <w:t xml:space="preserve"> of </w:t>
      </w:r>
      <w:r w:rsidR="0003757F" w:rsidRPr="008A51DB">
        <w:rPr>
          <w:rFonts w:ascii="Times New Roman" w:hAnsi="Times New Roman" w:cs="Times New Roman"/>
          <w:sz w:val="22"/>
          <w:szCs w:val="22"/>
        </w:rPr>
        <w:t xml:space="preserve">“Healthy People 2020,” the nation’s 10-year </w:t>
      </w:r>
      <w:r w:rsidR="00CC3AF8" w:rsidRPr="008A51DB">
        <w:rPr>
          <w:rFonts w:ascii="Times New Roman" w:hAnsi="Times New Roman" w:cs="Times New Roman"/>
          <w:sz w:val="22"/>
          <w:szCs w:val="22"/>
        </w:rPr>
        <w:t>goal</w:t>
      </w:r>
      <w:r w:rsidR="00A01E67">
        <w:rPr>
          <w:rFonts w:ascii="Times New Roman" w:hAnsi="Times New Roman" w:cs="Times New Roman"/>
          <w:sz w:val="22"/>
          <w:szCs w:val="22"/>
        </w:rPr>
        <w:t>s</w:t>
      </w:r>
      <w:r w:rsidR="00CC3AF8" w:rsidRPr="008A51DB">
        <w:rPr>
          <w:rFonts w:ascii="Times New Roman" w:hAnsi="Times New Roman" w:cs="Times New Roman"/>
          <w:sz w:val="22"/>
          <w:szCs w:val="22"/>
        </w:rPr>
        <w:t xml:space="preserve"> </w:t>
      </w:r>
      <w:r w:rsidR="0003757F" w:rsidRPr="008A51DB">
        <w:rPr>
          <w:rFonts w:ascii="Times New Roman" w:hAnsi="Times New Roman" w:cs="Times New Roman"/>
          <w:sz w:val="22"/>
          <w:szCs w:val="22"/>
        </w:rPr>
        <w:t>for improving the nation’s health,</w:t>
      </w:r>
      <w:r w:rsidR="00A523C4">
        <w:rPr>
          <w:rFonts w:ascii="Times New Roman" w:hAnsi="Times New Roman" w:cs="Times New Roman"/>
          <w:sz w:val="22"/>
          <w:szCs w:val="22"/>
        </w:rPr>
        <w:t xml:space="preserve"> recently added a national </w:t>
      </w:r>
      <w:r w:rsidR="0003757F" w:rsidRPr="008A51DB">
        <w:rPr>
          <w:rFonts w:ascii="Times New Roman" w:hAnsi="Times New Roman" w:cs="Times New Roman"/>
          <w:sz w:val="22"/>
          <w:szCs w:val="22"/>
        </w:rPr>
        <w:t>objective to increase by 10 percent the proportion of men (from 46.3% to 50.9%) and women (fro</w:t>
      </w:r>
      <w:r w:rsidR="00613341">
        <w:rPr>
          <w:rFonts w:ascii="Times New Roman" w:hAnsi="Times New Roman" w:cs="Times New Roman"/>
          <w:sz w:val="22"/>
          <w:szCs w:val="22"/>
        </w:rPr>
        <w:t xml:space="preserve">m 47.9% to 52.7%) </w:t>
      </w:r>
      <w:r w:rsidR="00DD1164">
        <w:rPr>
          <w:rFonts w:ascii="Times New Roman" w:hAnsi="Times New Roman" w:cs="Times New Roman"/>
          <w:sz w:val="22"/>
          <w:szCs w:val="22"/>
        </w:rPr>
        <w:t xml:space="preserve">age 65 and older </w:t>
      </w:r>
      <w:r w:rsidR="00613341">
        <w:rPr>
          <w:rFonts w:ascii="Times New Roman" w:hAnsi="Times New Roman" w:cs="Times New Roman"/>
          <w:sz w:val="22"/>
          <w:szCs w:val="22"/>
        </w:rPr>
        <w:t>who are up-to-</w:t>
      </w:r>
      <w:r w:rsidR="0003757F" w:rsidRPr="008A51DB">
        <w:rPr>
          <w:rFonts w:ascii="Times New Roman" w:hAnsi="Times New Roman" w:cs="Times New Roman"/>
          <w:sz w:val="22"/>
          <w:szCs w:val="22"/>
        </w:rPr>
        <w:t>date on the core set of clinical preventive services by the year 2020</w:t>
      </w:r>
      <w:r w:rsidR="00CF181E">
        <w:rPr>
          <w:rFonts w:ascii="Times New Roman" w:hAnsi="Times New Roman" w:cs="Times New Roman"/>
          <w:sz w:val="22"/>
          <w:szCs w:val="22"/>
        </w:rPr>
        <w:t xml:space="preserve"> (HHS 2010)</w:t>
      </w:r>
      <w:r w:rsidR="0003757F" w:rsidRPr="000D6F44">
        <w:rPr>
          <w:rFonts w:ascii="Times New Roman" w:eastAsia="Times New Roman" w:hAnsi="Times New Roman" w:cs="Times New Roman"/>
          <w:sz w:val="22"/>
          <w:szCs w:val="22"/>
        </w:rPr>
        <w:t xml:space="preserve">. </w:t>
      </w:r>
      <w:r w:rsidR="00DB4106">
        <w:rPr>
          <w:rFonts w:ascii="Times New Roman" w:eastAsia="Times New Roman" w:hAnsi="Times New Roman" w:cs="Times New Roman"/>
          <w:sz w:val="22"/>
          <w:szCs w:val="22"/>
        </w:rPr>
        <w:t>T</w:t>
      </w:r>
      <w:r w:rsidR="00697DAD" w:rsidRPr="00697DAD">
        <w:rPr>
          <w:rFonts w:ascii="Times New Roman" w:eastAsia="Times New Roman" w:hAnsi="Times New Roman" w:cs="Times New Roman"/>
          <w:sz w:val="22"/>
          <w:szCs w:val="22"/>
        </w:rPr>
        <w:t xml:space="preserve">hese core services include influenza and </w:t>
      </w:r>
      <w:r w:rsidR="00697DAD" w:rsidRPr="00697DAD">
        <w:rPr>
          <w:rFonts w:ascii="Times New Roman" w:eastAsia="Times New Roman" w:hAnsi="Times New Roman" w:cs="Times New Roman"/>
          <w:sz w:val="22"/>
          <w:szCs w:val="22"/>
        </w:rPr>
        <w:lastRenderedPageBreak/>
        <w:t>pneumococcal vaccinations, lipid disorders, colorectal cancer screening, and</w:t>
      </w:r>
      <w:r w:rsidR="00834FE8">
        <w:rPr>
          <w:rFonts w:ascii="Times New Roman" w:eastAsia="Times New Roman" w:hAnsi="Times New Roman" w:cs="Times New Roman"/>
          <w:sz w:val="22"/>
          <w:szCs w:val="22"/>
        </w:rPr>
        <w:t>,</w:t>
      </w:r>
      <w:r w:rsidR="00697DAD" w:rsidRPr="00697DAD">
        <w:rPr>
          <w:rFonts w:ascii="Times New Roman" w:eastAsia="Times New Roman" w:hAnsi="Times New Roman" w:cs="Times New Roman"/>
          <w:sz w:val="22"/>
          <w:szCs w:val="22"/>
        </w:rPr>
        <w:t xml:space="preserve"> additionally for women, breast cancer screening.</w:t>
      </w:r>
    </w:p>
    <w:p w:rsidR="00046B6A" w:rsidRPr="00FD59EE" w:rsidRDefault="00046B6A" w:rsidP="007D2F37">
      <w:pPr>
        <w:keepNext/>
        <w:spacing w:line="480" w:lineRule="auto"/>
        <w:ind w:left="720" w:hanging="720"/>
        <w:rPr>
          <w:b/>
          <w:sz w:val="24"/>
          <w:szCs w:val="24"/>
        </w:rPr>
      </w:pPr>
      <w:r w:rsidRPr="00FD59EE">
        <w:rPr>
          <w:b/>
          <w:sz w:val="24"/>
          <w:szCs w:val="24"/>
        </w:rPr>
        <w:t xml:space="preserve">LOW RATES OF </w:t>
      </w:r>
      <w:r w:rsidR="008137E8">
        <w:rPr>
          <w:b/>
          <w:sz w:val="24"/>
          <w:szCs w:val="24"/>
        </w:rPr>
        <w:t>USE</w:t>
      </w:r>
    </w:p>
    <w:p w:rsidR="0003757F" w:rsidRPr="000D6F44" w:rsidRDefault="0003757F" w:rsidP="007D2F37">
      <w:pPr>
        <w:spacing w:line="480" w:lineRule="auto"/>
        <w:ind w:firstLine="360"/>
        <w:rPr>
          <w:color w:val="000000"/>
          <w:sz w:val="22"/>
          <w:szCs w:val="22"/>
        </w:rPr>
      </w:pPr>
      <w:r w:rsidRPr="000D6F44">
        <w:rPr>
          <w:sz w:val="22"/>
          <w:szCs w:val="22"/>
        </w:rPr>
        <w:t>Despite the</w:t>
      </w:r>
      <w:r w:rsidR="00CC3AF8">
        <w:rPr>
          <w:sz w:val="22"/>
          <w:szCs w:val="22"/>
        </w:rPr>
        <w:t xml:space="preserve"> cost-</w:t>
      </w:r>
      <w:r w:rsidRPr="000D6F44">
        <w:rPr>
          <w:sz w:val="22"/>
          <w:szCs w:val="22"/>
        </w:rPr>
        <w:t xml:space="preserve">effectiveness of clinical preventive services, the </w:t>
      </w:r>
      <w:r w:rsidR="00CC3AF8">
        <w:rPr>
          <w:sz w:val="22"/>
          <w:szCs w:val="22"/>
        </w:rPr>
        <w:t>per</w:t>
      </w:r>
      <w:r w:rsidR="00613341">
        <w:rPr>
          <w:sz w:val="22"/>
          <w:szCs w:val="22"/>
        </w:rPr>
        <w:t>cent of older adults who are up-</w:t>
      </w:r>
      <w:r w:rsidR="00CC3AF8">
        <w:rPr>
          <w:sz w:val="22"/>
          <w:szCs w:val="22"/>
        </w:rPr>
        <w:t>to</w:t>
      </w:r>
      <w:r w:rsidR="00613341">
        <w:rPr>
          <w:sz w:val="22"/>
          <w:szCs w:val="22"/>
        </w:rPr>
        <w:t>-</w:t>
      </w:r>
      <w:r w:rsidR="00CC3AF8">
        <w:rPr>
          <w:sz w:val="22"/>
          <w:szCs w:val="22"/>
        </w:rPr>
        <w:t xml:space="preserve">date on receiving </w:t>
      </w:r>
      <w:r w:rsidR="00883477">
        <w:rPr>
          <w:sz w:val="22"/>
          <w:szCs w:val="22"/>
        </w:rPr>
        <w:t>core services</w:t>
      </w:r>
      <w:r w:rsidR="00CC3AF8">
        <w:rPr>
          <w:sz w:val="22"/>
          <w:szCs w:val="22"/>
        </w:rPr>
        <w:t xml:space="preserve"> is low</w:t>
      </w:r>
      <w:r w:rsidR="00CF181E">
        <w:rPr>
          <w:sz w:val="22"/>
          <w:szCs w:val="22"/>
        </w:rPr>
        <w:t xml:space="preserve"> (CDC 2009)</w:t>
      </w:r>
      <w:r w:rsidR="00CC3AF8">
        <w:rPr>
          <w:sz w:val="22"/>
          <w:szCs w:val="22"/>
        </w:rPr>
        <w:t xml:space="preserve">. </w:t>
      </w:r>
      <w:r w:rsidR="00AA1F67">
        <w:rPr>
          <w:color w:val="000000"/>
          <w:sz w:val="22"/>
          <w:szCs w:val="22"/>
        </w:rPr>
        <w:t>Only 25% of adults ages</w:t>
      </w:r>
      <w:r w:rsidRPr="000D6F44">
        <w:rPr>
          <w:color w:val="000000"/>
          <w:sz w:val="22"/>
          <w:szCs w:val="22"/>
        </w:rPr>
        <w:t xml:space="preserve"> 50 to 64 years in the United States</w:t>
      </w:r>
      <w:r w:rsidR="00921365" w:rsidRPr="000D6F44">
        <w:rPr>
          <w:color w:val="000000"/>
          <w:sz w:val="22"/>
          <w:szCs w:val="22"/>
        </w:rPr>
        <w:t xml:space="preserve"> (CDC </w:t>
      </w:r>
      <w:r w:rsidR="00CC3AF8">
        <w:rPr>
          <w:color w:val="000000"/>
          <w:sz w:val="22"/>
          <w:szCs w:val="22"/>
        </w:rPr>
        <w:t>2011</w:t>
      </w:r>
      <w:r w:rsidR="00CF181E">
        <w:rPr>
          <w:color w:val="000000"/>
          <w:sz w:val="22"/>
          <w:szCs w:val="22"/>
        </w:rPr>
        <w:t>a</w:t>
      </w:r>
      <w:r w:rsidR="00921365" w:rsidRPr="000D6F44">
        <w:rPr>
          <w:color w:val="000000"/>
          <w:sz w:val="22"/>
          <w:szCs w:val="22"/>
        </w:rPr>
        <w:t>)</w:t>
      </w:r>
      <w:r w:rsidRPr="000D6F44">
        <w:rPr>
          <w:color w:val="000000"/>
          <w:sz w:val="22"/>
          <w:szCs w:val="22"/>
        </w:rPr>
        <w:t>, a</w:t>
      </w:r>
      <w:r w:rsidR="00AA1F67">
        <w:rPr>
          <w:color w:val="000000"/>
          <w:sz w:val="22"/>
          <w:szCs w:val="22"/>
        </w:rPr>
        <w:t xml:space="preserve">nd </w:t>
      </w:r>
      <w:r w:rsidR="00E861F2">
        <w:rPr>
          <w:color w:val="000000"/>
          <w:sz w:val="22"/>
          <w:szCs w:val="22"/>
        </w:rPr>
        <w:t>less than half</w:t>
      </w:r>
      <w:r w:rsidR="00AA1F67">
        <w:rPr>
          <w:color w:val="000000"/>
          <w:sz w:val="22"/>
          <w:szCs w:val="22"/>
        </w:rPr>
        <w:t xml:space="preserve"> of adults age</w:t>
      </w:r>
      <w:r w:rsidRPr="000D6F44">
        <w:rPr>
          <w:color w:val="000000"/>
          <w:sz w:val="22"/>
          <w:szCs w:val="22"/>
        </w:rPr>
        <w:t xml:space="preserve"> 65 years and older </w:t>
      </w:r>
      <w:r w:rsidR="004247DD">
        <w:rPr>
          <w:color w:val="000000"/>
          <w:sz w:val="22"/>
          <w:szCs w:val="22"/>
        </w:rPr>
        <w:t xml:space="preserve">report being </w:t>
      </w:r>
      <w:r w:rsidR="00613341">
        <w:rPr>
          <w:sz w:val="22"/>
          <w:szCs w:val="22"/>
        </w:rPr>
        <w:t>up-to-date</w:t>
      </w:r>
      <w:r w:rsidRPr="000D6F44">
        <w:rPr>
          <w:color w:val="000000"/>
          <w:sz w:val="22"/>
          <w:szCs w:val="22"/>
        </w:rPr>
        <w:t xml:space="preserve"> on these services</w:t>
      </w:r>
      <w:r w:rsidR="00921365" w:rsidRPr="000D6F44">
        <w:rPr>
          <w:color w:val="000000"/>
          <w:sz w:val="22"/>
          <w:szCs w:val="22"/>
        </w:rPr>
        <w:t xml:space="preserve"> </w:t>
      </w:r>
      <w:r w:rsidR="00921365" w:rsidRPr="000D6F44">
        <w:rPr>
          <w:bCs/>
          <w:sz w:val="22"/>
          <w:szCs w:val="22"/>
        </w:rPr>
        <w:t>(</w:t>
      </w:r>
      <w:r w:rsidR="00E861F2">
        <w:rPr>
          <w:bCs/>
          <w:sz w:val="22"/>
          <w:szCs w:val="22"/>
        </w:rPr>
        <w:t xml:space="preserve">HHS 2010, </w:t>
      </w:r>
      <w:r w:rsidR="00921365" w:rsidRPr="000D6F44">
        <w:rPr>
          <w:bCs/>
          <w:sz w:val="22"/>
          <w:szCs w:val="22"/>
        </w:rPr>
        <w:t>Shenson 2007</w:t>
      </w:r>
      <w:r w:rsidR="00C340C6">
        <w:rPr>
          <w:bCs/>
          <w:sz w:val="22"/>
          <w:szCs w:val="22"/>
        </w:rPr>
        <w:t>,</w:t>
      </w:r>
      <w:r w:rsidR="00921365" w:rsidRPr="000D6F44">
        <w:rPr>
          <w:bCs/>
          <w:sz w:val="22"/>
          <w:szCs w:val="22"/>
        </w:rPr>
        <w:t xml:space="preserve"> Shenson 2011).</w:t>
      </w:r>
      <w:r w:rsidR="007921A1" w:rsidRPr="000D6F44">
        <w:rPr>
          <w:color w:val="000000"/>
          <w:sz w:val="22"/>
          <w:szCs w:val="22"/>
        </w:rPr>
        <w:t xml:space="preserve"> </w:t>
      </w:r>
      <w:r w:rsidRPr="000D6F44">
        <w:rPr>
          <w:color w:val="000000"/>
          <w:sz w:val="22"/>
          <w:szCs w:val="22"/>
        </w:rPr>
        <w:t xml:space="preserve">This is true despite the fact that these services are paid for by nearly all insurance plans, including Medicare and Medicaid, </w:t>
      </w:r>
      <w:r w:rsidR="0086172B">
        <w:rPr>
          <w:color w:val="000000"/>
          <w:sz w:val="22"/>
          <w:szCs w:val="22"/>
        </w:rPr>
        <w:t xml:space="preserve">according to </w:t>
      </w:r>
      <w:r w:rsidRPr="000D6F44">
        <w:rPr>
          <w:color w:val="000000"/>
          <w:sz w:val="22"/>
          <w:szCs w:val="22"/>
        </w:rPr>
        <w:t xml:space="preserve">the USPSTF </w:t>
      </w:r>
      <w:r w:rsidR="00CF181E">
        <w:rPr>
          <w:color w:val="000000"/>
          <w:sz w:val="22"/>
          <w:szCs w:val="22"/>
        </w:rPr>
        <w:t>(USPSTF 2011)</w:t>
      </w:r>
      <w:r w:rsidRPr="000D6F44">
        <w:rPr>
          <w:color w:val="000000"/>
          <w:sz w:val="22"/>
          <w:szCs w:val="22"/>
        </w:rPr>
        <w:t xml:space="preserve">. </w:t>
      </w:r>
    </w:p>
    <w:p w:rsidR="00B93BF4" w:rsidRPr="000D6F44" w:rsidRDefault="00B93BF4" w:rsidP="007D2F37">
      <w:pPr>
        <w:spacing w:line="480" w:lineRule="auto"/>
        <w:ind w:firstLine="360"/>
        <w:rPr>
          <w:sz w:val="22"/>
          <w:szCs w:val="22"/>
        </w:rPr>
      </w:pPr>
      <w:r w:rsidRPr="000D6F44">
        <w:rPr>
          <w:sz w:val="22"/>
          <w:szCs w:val="22"/>
        </w:rPr>
        <w:t xml:space="preserve">A 2004 study of preventive services utilization under </w:t>
      </w:r>
      <w:proofErr w:type="spellStart"/>
      <w:r w:rsidRPr="000D6F44">
        <w:rPr>
          <w:sz w:val="22"/>
          <w:szCs w:val="22"/>
        </w:rPr>
        <w:t>Medicare+Choice</w:t>
      </w:r>
      <w:proofErr w:type="spellEnd"/>
      <w:r w:rsidRPr="000D6F44">
        <w:rPr>
          <w:sz w:val="22"/>
          <w:szCs w:val="22"/>
        </w:rPr>
        <w:t xml:space="preserve"> plans by RAND Corp. found race and wealth are important factors in the receipt of preventive services by </w:t>
      </w:r>
      <w:r w:rsidR="004247DD">
        <w:rPr>
          <w:sz w:val="22"/>
          <w:szCs w:val="22"/>
        </w:rPr>
        <w:t xml:space="preserve">older </w:t>
      </w:r>
      <w:r w:rsidRPr="000D6F44">
        <w:rPr>
          <w:sz w:val="22"/>
          <w:szCs w:val="22"/>
        </w:rPr>
        <w:t>women</w:t>
      </w:r>
      <w:r w:rsidR="002B068A">
        <w:rPr>
          <w:sz w:val="22"/>
          <w:szCs w:val="22"/>
        </w:rPr>
        <w:t xml:space="preserve"> (Morales 2004)</w:t>
      </w:r>
      <w:r w:rsidRPr="000D6F44">
        <w:rPr>
          <w:sz w:val="22"/>
          <w:szCs w:val="22"/>
        </w:rPr>
        <w:t>.</w:t>
      </w:r>
      <w:r w:rsidR="005B5D3A" w:rsidRPr="005B5D3A">
        <w:rPr>
          <w:rStyle w:val="EndnoteReference"/>
          <w:sz w:val="22"/>
          <w:szCs w:val="22"/>
        </w:rPr>
        <w:t xml:space="preserve"> </w:t>
      </w:r>
      <w:r w:rsidR="000D1ED7" w:rsidRPr="000D1ED7">
        <w:rPr>
          <w:sz w:val="22"/>
          <w:szCs w:val="22"/>
        </w:rPr>
        <w:t xml:space="preserve">“Older women were less likely to receive mammograms, wealthier women were more likely to receive mammograms and </w:t>
      </w:r>
      <w:r w:rsidR="008037D0">
        <w:rPr>
          <w:sz w:val="22"/>
          <w:szCs w:val="22"/>
        </w:rPr>
        <w:t xml:space="preserve">colorectal cancer </w:t>
      </w:r>
      <w:r w:rsidR="000D1ED7" w:rsidRPr="000D1ED7">
        <w:rPr>
          <w:sz w:val="22"/>
          <w:szCs w:val="22"/>
        </w:rPr>
        <w:t xml:space="preserve">screening, and </w:t>
      </w:r>
      <w:r w:rsidR="000D1ED7">
        <w:rPr>
          <w:sz w:val="22"/>
          <w:szCs w:val="22"/>
        </w:rPr>
        <w:t>b</w:t>
      </w:r>
      <w:r w:rsidR="000D1ED7" w:rsidRPr="000D1ED7">
        <w:rPr>
          <w:sz w:val="22"/>
          <w:szCs w:val="22"/>
        </w:rPr>
        <w:t xml:space="preserve">lack women were more likely to receive </w:t>
      </w:r>
      <w:r w:rsidR="008037D0">
        <w:rPr>
          <w:sz w:val="22"/>
          <w:szCs w:val="22"/>
        </w:rPr>
        <w:t xml:space="preserve">colorectal cancer </w:t>
      </w:r>
      <w:r w:rsidR="000D1ED7" w:rsidRPr="000D1ED7">
        <w:rPr>
          <w:sz w:val="22"/>
          <w:szCs w:val="22"/>
        </w:rPr>
        <w:t xml:space="preserve">screening but less likely to receive influenza vaccinations,” the study concluded. The survey involved 2,700 older </w:t>
      </w:r>
      <w:r w:rsidR="004247DD">
        <w:rPr>
          <w:sz w:val="22"/>
          <w:szCs w:val="22"/>
        </w:rPr>
        <w:t xml:space="preserve">women </w:t>
      </w:r>
      <w:r w:rsidR="000D1ED7" w:rsidRPr="000D1ED7">
        <w:rPr>
          <w:sz w:val="22"/>
          <w:szCs w:val="22"/>
        </w:rPr>
        <w:t xml:space="preserve">in a </w:t>
      </w:r>
      <w:proofErr w:type="spellStart"/>
      <w:r w:rsidR="000D1ED7">
        <w:rPr>
          <w:sz w:val="22"/>
          <w:szCs w:val="22"/>
        </w:rPr>
        <w:t>Medicare+Choice</w:t>
      </w:r>
      <w:proofErr w:type="spellEnd"/>
      <w:r w:rsidR="000D1ED7">
        <w:rPr>
          <w:sz w:val="22"/>
          <w:szCs w:val="22"/>
        </w:rPr>
        <w:t xml:space="preserve"> </w:t>
      </w:r>
      <w:r w:rsidR="000D1ED7" w:rsidRPr="000D1ED7">
        <w:rPr>
          <w:sz w:val="22"/>
          <w:szCs w:val="22"/>
        </w:rPr>
        <w:t>plan.</w:t>
      </w:r>
    </w:p>
    <w:p w:rsidR="00B93BF4" w:rsidRPr="000D6F44" w:rsidRDefault="008037D0" w:rsidP="007D2F37">
      <w:pPr>
        <w:spacing w:line="480" w:lineRule="auto"/>
        <w:ind w:firstLine="360"/>
        <w:rPr>
          <w:color w:val="000000"/>
          <w:sz w:val="22"/>
          <w:szCs w:val="22"/>
        </w:rPr>
      </w:pPr>
      <w:r>
        <w:rPr>
          <w:color w:val="000000"/>
          <w:sz w:val="22"/>
          <w:szCs w:val="22"/>
        </w:rPr>
        <w:t xml:space="preserve">Other data </w:t>
      </w:r>
      <w:r w:rsidR="00B5623B">
        <w:rPr>
          <w:color w:val="000000"/>
          <w:sz w:val="22"/>
          <w:szCs w:val="22"/>
        </w:rPr>
        <w:t xml:space="preserve">illustrating </w:t>
      </w:r>
      <w:r w:rsidR="00B93BF4" w:rsidRPr="000D6F44">
        <w:rPr>
          <w:color w:val="000000"/>
          <w:sz w:val="22"/>
          <w:szCs w:val="22"/>
        </w:rPr>
        <w:t xml:space="preserve">rates of </w:t>
      </w:r>
      <w:r w:rsidR="00B5623B">
        <w:rPr>
          <w:color w:val="000000"/>
          <w:sz w:val="22"/>
          <w:szCs w:val="22"/>
        </w:rPr>
        <w:t xml:space="preserve">older adults </w:t>
      </w:r>
      <w:r w:rsidR="00B5623B" w:rsidRPr="00670313">
        <w:rPr>
          <w:i/>
          <w:color w:val="000000"/>
          <w:sz w:val="22"/>
          <w:szCs w:val="22"/>
        </w:rPr>
        <w:t>not</w:t>
      </w:r>
      <w:r w:rsidR="00B5623B">
        <w:rPr>
          <w:color w:val="000000"/>
          <w:sz w:val="22"/>
          <w:szCs w:val="22"/>
        </w:rPr>
        <w:t xml:space="preserve"> </w:t>
      </w:r>
      <w:r w:rsidR="00B93BF4" w:rsidRPr="000D6F44">
        <w:rPr>
          <w:color w:val="000000"/>
          <w:sz w:val="22"/>
          <w:szCs w:val="22"/>
        </w:rPr>
        <w:t>receiving clinical preventive services</w:t>
      </w:r>
      <w:r w:rsidR="002B068A">
        <w:rPr>
          <w:color w:val="000000"/>
          <w:sz w:val="22"/>
          <w:szCs w:val="22"/>
        </w:rPr>
        <w:t xml:space="preserve"> </w:t>
      </w:r>
      <w:r>
        <w:rPr>
          <w:color w:val="000000"/>
          <w:sz w:val="22"/>
          <w:szCs w:val="22"/>
        </w:rPr>
        <w:t xml:space="preserve">are below </w:t>
      </w:r>
      <w:r w:rsidR="002B068A">
        <w:rPr>
          <w:color w:val="000000"/>
          <w:sz w:val="22"/>
          <w:szCs w:val="22"/>
        </w:rPr>
        <w:t>(CDC 2011b)</w:t>
      </w:r>
      <w:r>
        <w:rPr>
          <w:color w:val="000000"/>
          <w:sz w:val="22"/>
          <w:szCs w:val="22"/>
        </w:rPr>
        <w:t>:</w:t>
      </w:r>
    </w:p>
    <w:p w:rsidR="0003757F" w:rsidRPr="000D6F44" w:rsidRDefault="0003757F" w:rsidP="00BD1CAC">
      <w:pPr>
        <w:numPr>
          <w:ilvl w:val="0"/>
          <w:numId w:val="4"/>
        </w:numPr>
        <w:rPr>
          <w:sz w:val="22"/>
          <w:szCs w:val="22"/>
        </w:rPr>
      </w:pPr>
      <w:r w:rsidRPr="000D6F44">
        <w:rPr>
          <w:b/>
          <w:sz w:val="22"/>
          <w:szCs w:val="22"/>
        </w:rPr>
        <w:t>Vaccinations:</w:t>
      </w:r>
      <w:r w:rsidRPr="000D6F44">
        <w:rPr>
          <w:sz w:val="22"/>
          <w:szCs w:val="22"/>
        </w:rPr>
        <w:t xml:space="preserve"> More than 31 percent of </w:t>
      </w:r>
      <w:r w:rsidR="00987D9A" w:rsidRPr="000D6F44">
        <w:rPr>
          <w:sz w:val="22"/>
          <w:szCs w:val="22"/>
        </w:rPr>
        <w:t xml:space="preserve">adults </w:t>
      </w:r>
      <w:r w:rsidR="00987D9A">
        <w:rPr>
          <w:sz w:val="22"/>
          <w:szCs w:val="22"/>
        </w:rPr>
        <w:t>age</w:t>
      </w:r>
      <w:r w:rsidR="00FD2125">
        <w:rPr>
          <w:sz w:val="22"/>
          <w:szCs w:val="22"/>
        </w:rPr>
        <w:t>s</w:t>
      </w:r>
      <w:r w:rsidR="00987D9A">
        <w:rPr>
          <w:sz w:val="22"/>
          <w:szCs w:val="22"/>
        </w:rPr>
        <w:t xml:space="preserve"> 65 and older </w:t>
      </w:r>
      <w:r w:rsidRPr="000D6F44">
        <w:rPr>
          <w:sz w:val="22"/>
          <w:szCs w:val="22"/>
        </w:rPr>
        <w:t xml:space="preserve">reported not receiving an influenza vaccination in the past year. </w:t>
      </w:r>
    </w:p>
    <w:p w:rsidR="0003757F" w:rsidRPr="000D6F44" w:rsidRDefault="0003757F" w:rsidP="00BD1CAC">
      <w:pPr>
        <w:numPr>
          <w:ilvl w:val="0"/>
          <w:numId w:val="4"/>
        </w:numPr>
        <w:rPr>
          <w:sz w:val="22"/>
          <w:szCs w:val="22"/>
        </w:rPr>
      </w:pPr>
      <w:r w:rsidRPr="000D6F44">
        <w:rPr>
          <w:b/>
          <w:sz w:val="22"/>
          <w:szCs w:val="22"/>
        </w:rPr>
        <w:t>Breast Cancer Screening:</w:t>
      </w:r>
      <w:r w:rsidRPr="000D6F44">
        <w:rPr>
          <w:sz w:val="22"/>
          <w:szCs w:val="22"/>
        </w:rPr>
        <w:t xml:space="preserve"> Nearly 17 percent of women </w:t>
      </w:r>
      <w:r w:rsidR="00987D9A">
        <w:rPr>
          <w:sz w:val="22"/>
          <w:szCs w:val="22"/>
        </w:rPr>
        <w:t xml:space="preserve">ages 65 to 74 </w:t>
      </w:r>
      <w:r w:rsidRPr="000D6F44">
        <w:rPr>
          <w:sz w:val="22"/>
          <w:szCs w:val="22"/>
        </w:rPr>
        <w:t>reported not receiving a mammogram within the past two years.</w:t>
      </w:r>
    </w:p>
    <w:p w:rsidR="0003757F" w:rsidRPr="000D6F44" w:rsidRDefault="0003757F" w:rsidP="00BD1CAC">
      <w:pPr>
        <w:numPr>
          <w:ilvl w:val="0"/>
          <w:numId w:val="4"/>
        </w:numPr>
        <w:rPr>
          <w:sz w:val="22"/>
          <w:szCs w:val="22"/>
        </w:rPr>
      </w:pPr>
      <w:r w:rsidRPr="000D6F44">
        <w:rPr>
          <w:b/>
          <w:sz w:val="22"/>
          <w:szCs w:val="22"/>
        </w:rPr>
        <w:t>Colorectal Cancer Screening:</w:t>
      </w:r>
      <w:r w:rsidRPr="000D6F44">
        <w:rPr>
          <w:sz w:val="22"/>
          <w:szCs w:val="22"/>
        </w:rPr>
        <w:t xml:space="preserve"> More than 36 percent of adults </w:t>
      </w:r>
      <w:r w:rsidR="00D122C4">
        <w:rPr>
          <w:sz w:val="22"/>
          <w:szCs w:val="22"/>
        </w:rPr>
        <w:t xml:space="preserve">ages 65 to 74 </w:t>
      </w:r>
      <w:r w:rsidRPr="000D6F44">
        <w:rPr>
          <w:sz w:val="22"/>
          <w:szCs w:val="22"/>
        </w:rPr>
        <w:t>reported not receiving colorectal cancer screening.</w:t>
      </w:r>
    </w:p>
    <w:p w:rsidR="0003757F" w:rsidRPr="000D6F44" w:rsidRDefault="0003757F" w:rsidP="00BD1CAC">
      <w:pPr>
        <w:numPr>
          <w:ilvl w:val="0"/>
          <w:numId w:val="4"/>
        </w:numPr>
        <w:rPr>
          <w:sz w:val="22"/>
          <w:szCs w:val="22"/>
        </w:rPr>
      </w:pPr>
      <w:r w:rsidRPr="000D6F44">
        <w:rPr>
          <w:b/>
          <w:sz w:val="22"/>
          <w:szCs w:val="22"/>
        </w:rPr>
        <w:t>Diabetes Screening:</w:t>
      </w:r>
      <w:r w:rsidRPr="000D6F44">
        <w:rPr>
          <w:sz w:val="22"/>
          <w:szCs w:val="22"/>
        </w:rPr>
        <w:t xml:space="preserve"> </w:t>
      </w:r>
      <w:r w:rsidR="004B7D46">
        <w:rPr>
          <w:sz w:val="22"/>
          <w:szCs w:val="22"/>
        </w:rPr>
        <w:t>Thirty-one</w:t>
      </w:r>
      <w:r w:rsidRPr="000D6F44">
        <w:rPr>
          <w:sz w:val="22"/>
          <w:szCs w:val="22"/>
        </w:rPr>
        <w:t xml:space="preserve"> percent of adults </w:t>
      </w:r>
      <w:r w:rsidR="00D122C4">
        <w:rPr>
          <w:sz w:val="22"/>
          <w:szCs w:val="22"/>
        </w:rPr>
        <w:t>age</w:t>
      </w:r>
      <w:r w:rsidR="00FD2125">
        <w:rPr>
          <w:sz w:val="22"/>
          <w:szCs w:val="22"/>
        </w:rPr>
        <w:t>s</w:t>
      </w:r>
      <w:r w:rsidR="00D122C4">
        <w:rPr>
          <w:sz w:val="22"/>
          <w:szCs w:val="22"/>
        </w:rPr>
        <w:t xml:space="preserve"> 65 and older </w:t>
      </w:r>
      <w:r w:rsidRPr="000D6F44">
        <w:rPr>
          <w:sz w:val="22"/>
          <w:szCs w:val="22"/>
        </w:rPr>
        <w:t>without diagnosed diabetes reported not receiving a test for high blood sugar or diabetes within the past three years.</w:t>
      </w:r>
    </w:p>
    <w:p w:rsidR="0003757F" w:rsidRPr="000D6F44" w:rsidRDefault="0003757F" w:rsidP="00BD1CAC">
      <w:pPr>
        <w:numPr>
          <w:ilvl w:val="0"/>
          <w:numId w:val="4"/>
        </w:numPr>
        <w:rPr>
          <w:sz w:val="22"/>
          <w:szCs w:val="22"/>
        </w:rPr>
      </w:pPr>
      <w:r w:rsidRPr="000D6F44">
        <w:rPr>
          <w:b/>
          <w:sz w:val="22"/>
          <w:szCs w:val="22"/>
        </w:rPr>
        <w:t>Osteoporosis Screening:</w:t>
      </w:r>
      <w:r w:rsidRPr="000D6F44">
        <w:rPr>
          <w:sz w:val="22"/>
          <w:szCs w:val="22"/>
        </w:rPr>
        <w:t xml:space="preserve"> </w:t>
      </w:r>
      <w:r w:rsidR="004B7D46">
        <w:rPr>
          <w:sz w:val="22"/>
          <w:szCs w:val="22"/>
        </w:rPr>
        <w:t xml:space="preserve">Sixty-two </w:t>
      </w:r>
      <w:r w:rsidRPr="000D6F44">
        <w:rPr>
          <w:sz w:val="22"/>
          <w:szCs w:val="22"/>
        </w:rPr>
        <w:t>percent of black women and 54 percent of American Indian/Alaska Native women reported never receiving osteoporosis screening compared to 33 percent of white women</w:t>
      </w:r>
      <w:r w:rsidR="00FD2125">
        <w:rPr>
          <w:sz w:val="22"/>
          <w:szCs w:val="22"/>
        </w:rPr>
        <w:t xml:space="preserve"> ages 65 and older.</w:t>
      </w:r>
    </w:p>
    <w:p w:rsidR="0003757F" w:rsidRPr="000D6F44" w:rsidRDefault="0003757F" w:rsidP="00BD1CAC">
      <w:pPr>
        <w:numPr>
          <w:ilvl w:val="0"/>
          <w:numId w:val="4"/>
        </w:numPr>
        <w:rPr>
          <w:sz w:val="22"/>
          <w:szCs w:val="22"/>
        </w:rPr>
      </w:pPr>
      <w:r w:rsidRPr="000D6F44">
        <w:rPr>
          <w:b/>
          <w:sz w:val="22"/>
          <w:szCs w:val="22"/>
        </w:rPr>
        <w:t>Lipid Disorder Screening:</w:t>
      </w:r>
      <w:r w:rsidR="00AA1F67">
        <w:rPr>
          <w:sz w:val="22"/>
          <w:szCs w:val="22"/>
        </w:rPr>
        <w:t xml:space="preserve"> </w:t>
      </w:r>
      <w:r w:rsidR="004B7D46">
        <w:rPr>
          <w:sz w:val="22"/>
          <w:szCs w:val="22"/>
        </w:rPr>
        <w:t>Five</w:t>
      </w:r>
      <w:r w:rsidR="00AA1F67">
        <w:rPr>
          <w:sz w:val="22"/>
          <w:szCs w:val="22"/>
        </w:rPr>
        <w:t xml:space="preserve"> percent of adults age</w:t>
      </w:r>
      <w:r w:rsidRPr="000D6F44">
        <w:rPr>
          <w:sz w:val="22"/>
          <w:szCs w:val="22"/>
        </w:rPr>
        <w:t xml:space="preserve"> 65 and older reported not receiving blood cholesterol screening within the past five years.</w:t>
      </w:r>
    </w:p>
    <w:p w:rsidR="0003757F" w:rsidRPr="000D6F44" w:rsidRDefault="0003757F" w:rsidP="00BD1CAC">
      <w:pPr>
        <w:numPr>
          <w:ilvl w:val="0"/>
          <w:numId w:val="4"/>
        </w:numPr>
        <w:rPr>
          <w:sz w:val="22"/>
          <w:szCs w:val="22"/>
        </w:rPr>
      </w:pPr>
      <w:r w:rsidRPr="000D6F44">
        <w:rPr>
          <w:b/>
          <w:sz w:val="22"/>
          <w:szCs w:val="22"/>
        </w:rPr>
        <w:t>Smoking Cessation Counseling:</w:t>
      </w:r>
      <w:r w:rsidR="00AA1F67">
        <w:rPr>
          <w:sz w:val="22"/>
          <w:szCs w:val="22"/>
        </w:rPr>
        <w:t xml:space="preserve"> </w:t>
      </w:r>
      <w:r w:rsidR="004B7D46">
        <w:rPr>
          <w:sz w:val="22"/>
          <w:szCs w:val="22"/>
        </w:rPr>
        <w:t xml:space="preserve">Thirty </w:t>
      </w:r>
      <w:r w:rsidR="00AA1F67">
        <w:rPr>
          <w:sz w:val="22"/>
          <w:szCs w:val="22"/>
        </w:rPr>
        <w:t>percent of women age</w:t>
      </w:r>
      <w:r w:rsidRPr="000D6F44">
        <w:rPr>
          <w:sz w:val="22"/>
          <w:szCs w:val="22"/>
        </w:rPr>
        <w:t xml:space="preserve"> 65 and older reported not receiving advice to quit smoking during their annual checkup, compared to 24 percent of older men.</w:t>
      </w:r>
    </w:p>
    <w:p w:rsidR="0003757F" w:rsidRPr="00FD59EE" w:rsidRDefault="0003757F" w:rsidP="007D2F37">
      <w:pPr>
        <w:keepNext/>
        <w:spacing w:line="480" w:lineRule="auto"/>
        <w:ind w:left="720" w:hanging="720"/>
        <w:rPr>
          <w:b/>
          <w:sz w:val="24"/>
          <w:szCs w:val="24"/>
        </w:rPr>
      </w:pPr>
      <w:r w:rsidRPr="00FD59EE">
        <w:rPr>
          <w:b/>
          <w:sz w:val="24"/>
          <w:szCs w:val="24"/>
        </w:rPr>
        <w:lastRenderedPageBreak/>
        <w:t xml:space="preserve">BARRIERS TO </w:t>
      </w:r>
      <w:r w:rsidR="00FD2125">
        <w:rPr>
          <w:b/>
          <w:sz w:val="24"/>
          <w:szCs w:val="24"/>
        </w:rPr>
        <w:t>RECEIPT OF SERVICES</w:t>
      </w:r>
    </w:p>
    <w:p w:rsidR="0003757F" w:rsidRPr="000D6F44" w:rsidRDefault="00A60A50" w:rsidP="00BD1CAC">
      <w:pPr>
        <w:ind w:left="720" w:right="720"/>
        <w:jc w:val="center"/>
        <w:rPr>
          <w:sz w:val="22"/>
          <w:szCs w:val="22"/>
        </w:rPr>
      </w:pPr>
      <w:r w:rsidRPr="000D6F44">
        <w:rPr>
          <w:i/>
          <w:sz w:val="22"/>
          <w:szCs w:val="22"/>
        </w:rPr>
        <w:t>“</w:t>
      </w:r>
      <w:r>
        <w:rPr>
          <w:i/>
          <w:sz w:val="22"/>
          <w:szCs w:val="22"/>
        </w:rPr>
        <w:t>The delivery of c</w:t>
      </w:r>
      <w:r w:rsidRPr="000D6F44">
        <w:rPr>
          <w:i/>
          <w:sz w:val="22"/>
          <w:szCs w:val="22"/>
        </w:rPr>
        <w:t>linical preventive services often fall</w:t>
      </w:r>
      <w:r>
        <w:rPr>
          <w:i/>
          <w:sz w:val="22"/>
          <w:szCs w:val="22"/>
        </w:rPr>
        <w:t>s</w:t>
      </w:r>
      <w:r w:rsidRPr="000D6F44">
        <w:rPr>
          <w:i/>
          <w:sz w:val="22"/>
          <w:szCs w:val="22"/>
        </w:rPr>
        <w:t xml:space="preserve"> between the cracks</w:t>
      </w:r>
      <w:r w:rsidRPr="000D6F44">
        <w:rPr>
          <w:i/>
          <w:sz w:val="22"/>
          <w:szCs w:val="22"/>
        </w:rPr>
        <w:br/>
        <w:t xml:space="preserve"> of medical care and public health.”</w:t>
      </w:r>
      <w:r w:rsidRPr="00AD68BA">
        <w:rPr>
          <w:sz w:val="22"/>
          <w:szCs w:val="22"/>
        </w:rPr>
        <w:t xml:space="preserve"> </w:t>
      </w:r>
      <w:r w:rsidR="0003757F" w:rsidRPr="00AD68BA">
        <w:rPr>
          <w:sz w:val="22"/>
          <w:szCs w:val="22"/>
        </w:rPr>
        <w:t>– Doug</w:t>
      </w:r>
      <w:r w:rsidR="00670313">
        <w:rPr>
          <w:sz w:val="22"/>
          <w:szCs w:val="22"/>
        </w:rPr>
        <w:t>las</w:t>
      </w:r>
      <w:r w:rsidR="0003757F" w:rsidRPr="00AD68BA">
        <w:rPr>
          <w:sz w:val="22"/>
          <w:szCs w:val="22"/>
        </w:rPr>
        <w:t xml:space="preserve"> Shenson</w:t>
      </w:r>
      <w:r w:rsidR="00DB4106">
        <w:rPr>
          <w:sz w:val="22"/>
          <w:szCs w:val="22"/>
        </w:rPr>
        <w:t>, MD, MPH</w:t>
      </w:r>
    </w:p>
    <w:p w:rsidR="00B314A2" w:rsidRDefault="00B314A2" w:rsidP="00B314A2">
      <w:pPr>
        <w:ind w:firstLine="360"/>
        <w:rPr>
          <w:sz w:val="22"/>
          <w:szCs w:val="22"/>
        </w:rPr>
      </w:pPr>
    </w:p>
    <w:p w:rsidR="00A60A50" w:rsidRDefault="00B5623B" w:rsidP="007D2F37">
      <w:pPr>
        <w:spacing w:line="480" w:lineRule="auto"/>
        <w:ind w:firstLine="360"/>
        <w:rPr>
          <w:sz w:val="22"/>
          <w:szCs w:val="22"/>
        </w:rPr>
      </w:pPr>
      <w:r>
        <w:rPr>
          <w:sz w:val="22"/>
          <w:szCs w:val="22"/>
        </w:rPr>
        <w:t>“</w:t>
      </w:r>
      <w:r w:rsidR="00FD2125">
        <w:rPr>
          <w:sz w:val="22"/>
          <w:szCs w:val="22"/>
        </w:rPr>
        <w:t xml:space="preserve">A </w:t>
      </w:r>
      <w:r w:rsidR="0003757F" w:rsidRPr="000D6F44">
        <w:rPr>
          <w:sz w:val="22"/>
          <w:szCs w:val="22"/>
        </w:rPr>
        <w:t xml:space="preserve">fundamental problem </w:t>
      </w:r>
      <w:r w:rsidR="00FD2125">
        <w:rPr>
          <w:sz w:val="22"/>
          <w:szCs w:val="22"/>
        </w:rPr>
        <w:t xml:space="preserve">underlying </w:t>
      </w:r>
      <w:r w:rsidR="0003757F" w:rsidRPr="000D6F44">
        <w:rPr>
          <w:sz w:val="22"/>
          <w:szCs w:val="22"/>
        </w:rPr>
        <w:t xml:space="preserve">the </w:t>
      </w:r>
      <w:r w:rsidR="00FD2125">
        <w:rPr>
          <w:sz w:val="22"/>
          <w:szCs w:val="22"/>
        </w:rPr>
        <w:t xml:space="preserve">small </w:t>
      </w:r>
      <w:r>
        <w:rPr>
          <w:sz w:val="22"/>
          <w:szCs w:val="22"/>
        </w:rPr>
        <w:t xml:space="preserve">proportion </w:t>
      </w:r>
      <w:r w:rsidR="00FD2125">
        <w:rPr>
          <w:sz w:val="22"/>
          <w:szCs w:val="22"/>
        </w:rPr>
        <w:t xml:space="preserve">of adults 50 years of age and older </w:t>
      </w:r>
      <w:r w:rsidR="0003757F" w:rsidRPr="000D6F44">
        <w:rPr>
          <w:sz w:val="22"/>
          <w:szCs w:val="22"/>
        </w:rPr>
        <w:t>obtaining</w:t>
      </w:r>
      <w:r>
        <w:rPr>
          <w:sz w:val="22"/>
          <w:szCs w:val="22"/>
        </w:rPr>
        <w:t xml:space="preserve"> core</w:t>
      </w:r>
      <w:r w:rsidR="0003757F" w:rsidRPr="000D6F44">
        <w:rPr>
          <w:sz w:val="22"/>
          <w:szCs w:val="22"/>
        </w:rPr>
        <w:t xml:space="preserve"> clinical preventive services is the structural mismatch between the </w:t>
      </w:r>
      <w:r>
        <w:rPr>
          <w:sz w:val="22"/>
          <w:szCs w:val="22"/>
        </w:rPr>
        <w:t xml:space="preserve">medical care goal of taking care of sick patients and the </w:t>
      </w:r>
      <w:r w:rsidR="0003757F" w:rsidRPr="000D6F44">
        <w:rPr>
          <w:sz w:val="22"/>
          <w:szCs w:val="22"/>
        </w:rPr>
        <w:t xml:space="preserve">public health goal </w:t>
      </w:r>
      <w:r>
        <w:rPr>
          <w:sz w:val="22"/>
          <w:szCs w:val="22"/>
        </w:rPr>
        <w:t xml:space="preserve">of delivering </w:t>
      </w:r>
      <w:r w:rsidR="00046B6A" w:rsidRPr="000D6F44">
        <w:rPr>
          <w:sz w:val="22"/>
          <w:szCs w:val="22"/>
        </w:rPr>
        <w:t>clinical preventive services</w:t>
      </w:r>
      <w:r w:rsidR="0003757F" w:rsidRPr="000D6F44">
        <w:rPr>
          <w:sz w:val="22"/>
          <w:szCs w:val="22"/>
        </w:rPr>
        <w:t xml:space="preserve"> </w:t>
      </w:r>
      <w:r>
        <w:rPr>
          <w:sz w:val="22"/>
          <w:szCs w:val="22"/>
        </w:rPr>
        <w:t>to everyone for whom they are recommended,” Dr. Shenson explained</w:t>
      </w:r>
      <w:r w:rsidR="0003757F" w:rsidRPr="000D6F44">
        <w:rPr>
          <w:sz w:val="22"/>
          <w:szCs w:val="22"/>
        </w:rPr>
        <w:t xml:space="preserve">. “We </w:t>
      </w:r>
      <w:r w:rsidR="00F61D78">
        <w:rPr>
          <w:sz w:val="22"/>
          <w:szCs w:val="22"/>
        </w:rPr>
        <w:t xml:space="preserve">expect </w:t>
      </w:r>
      <w:r w:rsidR="00CE04D8">
        <w:rPr>
          <w:sz w:val="22"/>
          <w:szCs w:val="22"/>
        </w:rPr>
        <w:t>doctors</w:t>
      </w:r>
      <w:r w:rsidR="0003757F" w:rsidRPr="000D6F44">
        <w:rPr>
          <w:sz w:val="22"/>
          <w:szCs w:val="22"/>
        </w:rPr>
        <w:t xml:space="preserve"> to deliver </w:t>
      </w:r>
      <w:r w:rsidR="00046B6A" w:rsidRPr="000D6F44">
        <w:rPr>
          <w:sz w:val="22"/>
          <w:szCs w:val="22"/>
        </w:rPr>
        <w:t xml:space="preserve">clinical preventive services </w:t>
      </w:r>
      <w:r w:rsidR="0003757F" w:rsidRPr="000D6F44">
        <w:rPr>
          <w:sz w:val="22"/>
          <w:szCs w:val="22"/>
        </w:rPr>
        <w:t xml:space="preserve">to the entire population, but medical providers </w:t>
      </w:r>
      <w:r w:rsidR="00F61D78">
        <w:rPr>
          <w:sz w:val="22"/>
          <w:szCs w:val="22"/>
        </w:rPr>
        <w:t xml:space="preserve">only </w:t>
      </w:r>
      <w:r w:rsidR="00CE04D8">
        <w:rPr>
          <w:sz w:val="22"/>
          <w:szCs w:val="22"/>
        </w:rPr>
        <w:t xml:space="preserve">see </w:t>
      </w:r>
      <w:r w:rsidR="0003757F" w:rsidRPr="000D6F44">
        <w:rPr>
          <w:sz w:val="22"/>
          <w:szCs w:val="22"/>
        </w:rPr>
        <w:t>people who come in their door</w:t>
      </w:r>
      <w:r>
        <w:rPr>
          <w:sz w:val="22"/>
          <w:szCs w:val="22"/>
        </w:rPr>
        <w:t xml:space="preserve">. </w:t>
      </w:r>
      <w:r w:rsidR="00CE04D8">
        <w:rPr>
          <w:sz w:val="22"/>
          <w:szCs w:val="22"/>
        </w:rPr>
        <w:t>Furthermore, p</w:t>
      </w:r>
      <w:r w:rsidR="0003757F" w:rsidRPr="000D6F44">
        <w:rPr>
          <w:sz w:val="22"/>
          <w:szCs w:val="22"/>
        </w:rPr>
        <w:t>hysicians focus first on the illness that bro</w:t>
      </w:r>
      <w:r w:rsidR="004E5975">
        <w:rPr>
          <w:sz w:val="22"/>
          <w:szCs w:val="22"/>
        </w:rPr>
        <w:t>u</w:t>
      </w:r>
      <w:r w:rsidR="0003757F" w:rsidRPr="000D6F44">
        <w:rPr>
          <w:sz w:val="22"/>
          <w:szCs w:val="22"/>
        </w:rPr>
        <w:t>ght the patient in</w:t>
      </w:r>
      <w:r w:rsidR="00635E10">
        <w:rPr>
          <w:sz w:val="22"/>
          <w:szCs w:val="22"/>
        </w:rPr>
        <w:t xml:space="preserve">. They </w:t>
      </w:r>
      <w:r w:rsidR="0003757F" w:rsidRPr="000D6F44">
        <w:rPr>
          <w:sz w:val="22"/>
          <w:szCs w:val="22"/>
        </w:rPr>
        <w:t>have very busy practices</w:t>
      </w:r>
      <w:r w:rsidR="00EE40DF">
        <w:rPr>
          <w:sz w:val="22"/>
          <w:szCs w:val="22"/>
        </w:rPr>
        <w:t xml:space="preserve"> –</w:t>
      </w:r>
      <w:r w:rsidR="0023671D">
        <w:rPr>
          <w:sz w:val="22"/>
          <w:szCs w:val="22"/>
        </w:rPr>
        <w:t xml:space="preserve"> o</w:t>
      </w:r>
      <w:r w:rsidR="0003757F" w:rsidRPr="000D6F44">
        <w:rPr>
          <w:sz w:val="22"/>
          <w:szCs w:val="22"/>
        </w:rPr>
        <w:t xml:space="preserve">ffice reminder systems can help, but </w:t>
      </w:r>
      <w:r>
        <w:rPr>
          <w:sz w:val="22"/>
          <w:szCs w:val="22"/>
        </w:rPr>
        <w:t xml:space="preserve">treating an established disease in a patient almost always takes priority over preventing a potential illness in the future.” </w:t>
      </w:r>
    </w:p>
    <w:p w:rsidR="004B7D46" w:rsidRPr="000D6F44" w:rsidRDefault="004B7D46" w:rsidP="007D2F37">
      <w:pPr>
        <w:spacing w:line="480" w:lineRule="auto"/>
        <w:ind w:firstLine="360"/>
        <w:rPr>
          <w:sz w:val="22"/>
          <w:szCs w:val="22"/>
        </w:rPr>
      </w:pPr>
      <w:r w:rsidRPr="004B7D46">
        <w:rPr>
          <w:sz w:val="22"/>
          <w:szCs w:val="22"/>
        </w:rPr>
        <w:t>A 2009 survey by AARP</w:t>
      </w:r>
      <w:r>
        <w:rPr>
          <w:sz w:val="22"/>
          <w:szCs w:val="22"/>
        </w:rPr>
        <w:t xml:space="preserve"> of 803 adults</w:t>
      </w:r>
      <w:r w:rsidRPr="004B7D46">
        <w:rPr>
          <w:sz w:val="22"/>
          <w:szCs w:val="22"/>
        </w:rPr>
        <w:t xml:space="preserve"> </w:t>
      </w:r>
      <w:r>
        <w:rPr>
          <w:sz w:val="22"/>
          <w:szCs w:val="22"/>
        </w:rPr>
        <w:t xml:space="preserve">identified the following </w:t>
      </w:r>
      <w:r w:rsidR="009015C6">
        <w:rPr>
          <w:sz w:val="22"/>
          <w:szCs w:val="22"/>
        </w:rPr>
        <w:t xml:space="preserve">top </w:t>
      </w:r>
      <w:r w:rsidRPr="004B7D46">
        <w:rPr>
          <w:sz w:val="22"/>
          <w:szCs w:val="22"/>
        </w:rPr>
        <w:t>reasons for not receiving vaccines or health screenings: cost of the screening; insufficient funds to cover copayments or deductibles; uncertainty over what health insurance would cover; lack of importance to them; or lack of health insurance</w:t>
      </w:r>
      <w:r>
        <w:rPr>
          <w:sz w:val="22"/>
          <w:szCs w:val="22"/>
        </w:rPr>
        <w:t xml:space="preserve"> (AARP 2009). </w:t>
      </w:r>
    </w:p>
    <w:p w:rsidR="00087AD0" w:rsidRPr="000D6F44" w:rsidRDefault="0003757F" w:rsidP="007D2F37">
      <w:pPr>
        <w:spacing w:line="480" w:lineRule="auto"/>
        <w:ind w:firstLine="360"/>
        <w:rPr>
          <w:sz w:val="22"/>
          <w:szCs w:val="22"/>
        </w:rPr>
      </w:pPr>
      <w:r w:rsidRPr="000D6F44">
        <w:rPr>
          <w:sz w:val="22"/>
          <w:szCs w:val="22"/>
        </w:rPr>
        <w:t>Other reasons older adults fail to get regular clinical preventive services include</w:t>
      </w:r>
      <w:r w:rsidR="00396F89">
        <w:rPr>
          <w:sz w:val="22"/>
          <w:szCs w:val="22"/>
        </w:rPr>
        <w:t xml:space="preserve"> (AARP 2008)</w:t>
      </w:r>
      <w:r w:rsidRPr="000D6F44">
        <w:rPr>
          <w:sz w:val="22"/>
          <w:szCs w:val="22"/>
        </w:rPr>
        <w:t>:</w:t>
      </w:r>
      <w:r w:rsidR="00C544FB" w:rsidRPr="00C544FB">
        <w:rPr>
          <w:rStyle w:val="EndnoteReference"/>
          <w:color w:val="000000"/>
          <w:sz w:val="22"/>
          <w:szCs w:val="22"/>
        </w:rPr>
        <w:t xml:space="preserve"> </w:t>
      </w:r>
    </w:p>
    <w:p w:rsidR="0003757F" w:rsidRPr="000D6F44" w:rsidRDefault="0003757F" w:rsidP="00BD1CAC">
      <w:pPr>
        <w:numPr>
          <w:ilvl w:val="0"/>
          <w:numId w:val="5"/>
        </w:numPr>
        <w:rPr>
          <w:color w:val="000000"/>
          <w:sz w:val="22"/>
          <w:szCs w:val="22"/>
        </w:rPr>
      </w:pPr>
      <w:r w:rsidRPr="000D6F44">
        <w:rPr>
          <w:color w:val="000000"/>
          <w:sz w:val="22"/>
          <w:szCs w:val="22"/>
        </w:rPr>
        <w:t>Older adults may not be aware of the services recommended for their age group.</w:t>
      </w:r>
    </w:p>
    <w:p w:rsidR="0003757F" w:rsidRPr="000D6F44" w:rsidRDefault="008156D7" w:rsidP="00BD1CAC">
      <w:pPr>
        <w:numPr>
          <w:ilvl w:val="0"/>
          <w:numId w:val="5"/>
        </w:numPr>
        <w:rPr>
          <w:color w:val="000000"/>
          <w:sz w:val="22"/>
          <w:szCs w:val="22"/>
        </w:rPr>
      </w:pPr>
      <w:r>
        <w:rPr>
          <w:color w:val="000000"/>
          <w:sz w:val="22"/>
          <w:szCs w:val="22"/>
        </w:rPr>
        <w:t xml:space="preserve">Adults </w:t>
      </w:r>
      <w:r w:rsidR="00A01E67">
        <w:rPr>
          <w:color w:val="000000"/>
          <w:sz w:val="22"/>
          <w:szCs w:val="22"/>
        </w:rPr>
        <w:t xml:space="preserve">ages 65 and older </w:t>
      </w:r>
      <w:r w:rsidR="0003757F" w:rsidRPr="000D6F44">
        <w:rPr>
          <w:color w:val="000000"/>
          <w:sz w:val="22"/>
          <w:szCs w:val="22"/>
        </w:rPr>
        <w:t xml:space="preserve">may not know that the </w:t>
      </w:r>
      <w:r w:rsidR="005E1F2B">
        <w:rPr>
          <w:color w:val="000000"/>
          <w:sz w:val="22"/>
          <w:szCs w:val="22"/>
        </w:rPr>
        <w:t xml:space="preserve">cost of most of the </w:t>
      </w:r>
      <w:r w:rsidR="0003757F" w:rsidRPr="000D6F44">
        <w:rPr>
          <w:color w:val="000000"/>
          <w:sz w:val="22"/>
          <w:szCs w:val="22"/>
        </w:rPr>
        <w:t xml:space="preserve">services </w:t>
      </w:r>
      <w:r w:rsidR="005E1F2B">
        <w:rPr>
          <w:color w:val="000000"/>
          <w:sz w:val="22"/>
          <w:szCs w:val="22"/>
        </w:rPr>
        <w:t xml:space="preserve">is </w:t>
      </w:r>
      <w:r w:rsidR="0003757F" w:rsidRPr="000D6F44">
        <w:rPr>
          <w:color w:val="000000"/>
          <w:sz w:val="22"/>
          <w:szCs w:val="22"/>
        </w:rPr>
        <w:t xml:space="preserve">covered by Medicare. </w:t>
      </w:r>
    </w:p>
    <w:p w:rsidR="0003757F" w:rsidRPr="000D6F44" w:rsidRDefault="00FD2125" w:rsidP="00BD1CAC">
      <w:pPr>
        <w:numPr>
          <w:ilvl w:val="0"/>
          <w:numId w:val="5"/>
        </w:numPr>
        <w:rPr>
          <w:color w:val="000000"/>
          <w:sz w:val="22"/>
          <w:szCs w:val="22"/>
        </w:rPr>
      </w:pPr>
      <w:r>
        <w:rPr>
          <w:color w:val="000000"/>
          <w:sz w:val="22"/>
          <w:szCs w:val="22"/>
        </w:rPr>
        <w:t>P</w:t>
      </w:r>
      <w:r w:rsidR="0003757F" w:rsidRPr="000D6F44">
        <w:rPr>
          <w:color w:val="000000"/>
          <w:sz w:val="22"/>
          <w:szCs w:val="22"/>
        </w:rPr>
        <w:t xml:space="preserve">hysicians may not take the time to recommend or provide the </w:t>
      </w:r>
      <w:r>
        <w:rPr>
          <w:color w:val="000000"/>
          <w:sz w:val="22"/>
          <w:szCs w:val="22"/>
        </w:rPr>
        <w:t xml:space="preserve">routine </w:t>
      </w:r>
      <w:r w:rsidR="0003757F" w:rsidRPr="000D6F44">
        <w:rPr>
          <w:color w:val="000000"/>
          <w:sz w:val="22"/>
          <w:szCs w:val="22"/>
        </w:rPr>
        <w:t>service</w:t>
      </w:r>
      <w:r>
        <w:rPr>
          <w:color w:val="000000"/>
          <w:sz w:val="22"/>
          <w:szCs w:val="22"/>
        </w:rPr>
        <w:t>s</w:t>
      </w:r>
      <w:r w:rsidR="0003757F" w:rsidRPr="000D6F44">
        <w:rPr>
          <w:color w:val="000000"/>
          <w:sz w:val="22"/>
          <w:szCs w:val="22"/>
        </w:rPr>
        <w:t xml:space="preserve">. </w:t>
      </w:r>
    </w:p>
    <w:p w:rsidR="0003757F" w:rsidRPr="000D6F44" w:rsidRDefault="0003757F" w:rsidP="00BD1CAC">
      <w:pPr>
        <w:numPr>
          <w:ilvl w:val="0"/>
          <w:numId w:val="5"/>
        </w:numPr>
        <w:rPr>
          <w:color w:val="000000"/>
          <w:sz w:val="22"/>
          <w:szCs w:val="22"/>
        </w:rPr>
      </w:pPr>
      <w:r w:rsidRPr="000D6F44">
        <w:rPr>
          <w:color w:val="000000"/>
          <w:sz w:val="22"/>
          <w:szCs w:val="22"/>
        </w:rPr>
        <w:t xml:space="preserve">Health care providers may have questions about the safety and efficacy of vaccines and other preventive services for older populations or </w:t>
      </w:r>
      <w:r w:rsidR="00010074">
        <w:rPr>
          <w:color w:val="000000"/>
          <w:sz w:val="22"/>
          <w:szCs w:val="22"/>
        </w:rPr>
        <w:t>be</w:t>
      </w:r>
      <w:r w:rsidRPr="000D6F44">
        <w:rPr>
          <w:color w:val="000000"/>
          <w:sz w:val="22"/>
          <w:szCs w:val="22"/>
        </w:rPr>
        <w:t xml:space="preserve"> unfamiliar with age-based recommendations.</w:t>
      </w:r>
    </w:p>
    <w:p w:rsidR="0003757F" w:rsidRPr="000D6F44" w:rsidRDefault="0003757F" w:rsidP="00BD1CAC">
      <w:pPr>
        <w:numPr>
          <w:ilvl w:val="0"/>
          <w:numId w:val="5"/>
        </w:numPr>
        <w:rPr>
          <w:color w:val="000000"/>
          <w:sz w:val="22"/>
          <w:szCs w:val="22"/>
        </w:rPr>
      </w:pPr>
      <w:r w:rsidRPr="000D6F44">
        <w:rPr>
          <w:color w:val="000000"/>
          <w:sz w:val="22"/>
          <w:szCs w:val="22"/>
        </w:rPr>
        <w:t>Some older adults do not have a primary care provider or a usual source of care, or may not visit their provider regularly.</w:t>
      </w:r>
    </w:p>
    <w:p w:rsidR="0003757F" w:rsidRPr="000D6F44" w:rsidRDefault="0003757F" w:rsidP="00BD1CAC">
      <w:pPr>
        <w:numPr>
          <w:ilvl w:val="0"/>
          <w:numId w:val="5"/>
        </w:numPr>
        <w:rPr>
          <w:color w:val="000000"/>
          <w:sz w:val="22"/>
          <w:szCs w:val="22"/>
        </w:rPr>
      </w:pPr>
      <w:r w:rsidRPr="000D6F44">
        <w:rPr>
          <w:color w:val="000000"/>
          <w:sz w:val="22"/>
          <w:szCs w:val="22"/>
        </w:rPr>
        <w:t xml:space="preserve">Older adults may be deterred from receiving services due to physical or social barriers (transportation, disability, culture or language challenges, </w:t>
      </w:r>
      <w:r w:rsidR="00643907">
        <w:rPr>
          <w:color w:val="000000"/>
          <w:sz w:val="22"/>
          <w:szCs w:val="22"/>
        </w:rPr>
        <w:t xml:space="preserve">or </w:t>
      </w:r>
      <w:r w:rsidRPr="000D6F44">
        <w:rPr>
          <w:color w:val="000000"/>
          <w:sz w:val="22"/>
          <w:szCs w:val="22"/>
        </w:rPr>
        <w:t>fear).</w:t>
      </w:r>
    </w:p>
    <w:p w:rsidR="00B314A2" w:rsidRDefault="00B314A2" w:rsidP="00B314A2">
      <w:pPr>
        <w:ind w:firstLine="360"/>
        <w:rPr>
          <w:sz w:val="22"/>
          <w:szCs w:val="22"/>
        </w:rPr>
      </w:pPr>
    </w:p>
    <w:p w:rsidR="0003757F" w:rsidRPr="000D6F44" w:rsidRDefault="00B314A2" w:rsidP="00B314A2">
      <w:pPr>
        <w:spacing w:line="480" w:lineRule="auto"/>
        <w:ind w:firstLine="360"/>
        <w:rPr>
          <w:sz w:val="22"/>
          <w:szCs w:val="22"/>
        </w:rPr>
      </w:pPr>
      <w:r w:rsidRPr="000D6F44">
        <w:rPr>
          <w:sz w:val="22"/>
          <w:szCs w:val="22"/>
        </w:rPr>
        <w:t xml:space="preserve"> </w:t>
      </w:r>
      <w:r w:rsidR="0003757F" w:rsidRPr="000D6F44">
        <w:rPr>
          <w:sz w:val="22"/>
          <w:szCs w:val="22"/>
        </w:rPr>
        <w:t>“Another reason that we don’t do a better job of making sure that</w:t>
      </w:r>
      <w:r w:rsidR="004E5975">
        <w:rPr>
          <w:sz w:val="22"/>
          <w:szCs w:val="22"/>
        </w:rPr>
        <w:t xml:space="preserve"> all</w:t>
      </w:r>
      <w:r w:rsidR="0003757F" w:rsidRPr="000D6F44">
        <w:rPr>
          <w:sz w:val="22"/>
          <w:szCs w:val="22"/>
        </w:rPr>
        <w:t xml:space="preserve"> older adults receive the recommended clinical preventive </w:t>
      </w:r>
      <w:r w:rsidR="008B1757" w:rsidRPr="000D6F44">
        <w:rPr>
          <w:sz w:val="22"/>
          <w:szCs w:val="22"/>
        </w:rPr>
        <w:t>services</w:t>
      </w:r>
      <w:r w:rsidR="0003757F" w:rsidRPr="000D6F44">
        <w:rPr>
          <w:sz w:val="22"/>
          <w:szCs w:val="22"/>
        </w:rPr>
        <w:t xml:space="preserve"> is that no one </w:t>
      </w:r>
      <w:r w:rsidR="002175B1">
        <w:rPr>
          <w:sz w:val="22"/>
          <w:szCs w:val="22"/>
        </w:rPr>
        <w:t xml:space="preserve">entity </w:t>
      </w:r>
      <w:r w:rsidR="0003757F" w:rsidRPr="000D6F44">
        <w:rPr>
          <w:sz w:val="22"/>
          <w:szCs w:val="22"/>
        </w:rPr>
        <w:t xml:space="preserve">is responsible for </w:t>
      </w:r>
      <w:r w:rsidR="006334EF">
        <w:rPr>
          <w:sz w:val="22"/>
          <w:szCs w:val="22"/>
        </w:rPr>
        <w:t>en</w:t>
      </w:r>
      <w:r w:rsidR="004E5975">
        <w:rPr>
          <w:sz w:val="22"/>
          <w:szCs w:val="22"/>
        </w:rPr>
        <w:t xml:space="preserve">suring </w:t>
      </w:r>
      <w:r w:rsidR="002175B1">
        <w:rPr>
          <w:sz w:val="22"/>
          <w:szCs w:val="22"/>
        </w:rPr>
        <w:t xml:space="preserve">receipt of all recommended </w:t>
      </w:r>
      <w:r w:rsidR="004E5975">
        <w:rPr>
          <w:sz w:val="22"/>
          <w:szCs w:val="22"/>
        </w:rPr>
        <w:t>prevention service delivery at the community level</w:t>
      </w:r>
      <w:r w:rsidR="00097988">
        <w:rPr>
          <w:sz w:val="22"/>
          <w:szCs w:val="22"/>
        </w:rPr>
        <w:t>,</w:t>
      </w:r>
      <w:r w:rsidR="0003757F" w:rsidRPr="000D6F44">
        <w:rPr>
          <w:sz w:val="22"/>
          <w:szCs w:val="22"/>
        </w:rPr>
        <w:t xml:space="preserve">” Dr. Shenson said. </w:t>
      </w:r>
      <w:r w:rsidR="00F022DC">
        <w:rPr>
          <w:sz w:val="22"/>
          <w:szCs w:val="22"/>
        </w:rPr>
        <w:t>“</w:t>
      </w:r>
      <w:r w:rsidR="0023671D">
        <w:rPr>
          <w:sz w:val="22"/>
          <w:szCs w:val="22"/>
        </w:rPr>
        <w:t>We are missing</w:t>
      </w:r>
      <w:r w:rsidR="0003757F" w:rsidRPr="000D6F44">
        <w:rPr>
          <w:sz w:val="22"/>
          <w:szCs w:val="22"/>
        </w:rPr>
        <w:t xml:space="preserve"> </w:t>
      </w:r>
      <w:r w:rsidR="0003757F" w:rsidRPr="000D6F44">
        <w:rPr>
          <w:sz w:val="22"/>
          <w:szCs w:val="22"/>
        </w:rPr>
        <w:lastRenderedPageBreak/>
        <w:t>program</w:t>
      </w:r>
      <w:r w:rsidR="0023671D">
        <w:rPr>
          <w:sz w:val="22"/>
          <w:szCs w:val="22"/>
        </w:rPr>
        <w:t>s</w:t>
      </w:r>
      <w:r w:rsidR="0003757F" w:rsidRPr="000D6F44">
        <w:rPr>
          <w:sz w:val="22"/>
          <w:szCs w:val="22"/>
        </w:rPr>
        <w:t xml:space="preserve"> that bring together local providers to take responsibility for </w:t>
      </w:r>
      <w:r w:rsidR="006334EF">
        <w:rPr>
          <w:sz w:val="22"/>
          <w:szCs w:val="22"/>
        </w:rPr>
        <w:t>en</w:t>
      </w:r>
      <w:r w:rsidR="0003757F" w:rsidRPr="000D6F44">
        <w:rPr>
          <w:sz w:val="22"/>
          <w:szCs w:val="22"/>
        </w:rPr>
        <w:t xml:space="preserve">suring the </w:t>
      </w:r>
      <w:r w:rsidR="0023671D">
        <w:rPr>
          <w:sz w:val="22"/>
          <w:szCs w:val="22"/>
        </w:rPr>
        <w:t xml:space="preserve">wide-scale </w:t>
      </w:r>
      <w:r w:rsidR="0003757F" w:rsidRPr="000D6F44">
        <w:rPr>
          <w:sz w:val="22"/>
          <w:szCs w:val="22"/>
        </w:rPr>
        <w:t xml:space="preserve">delivery of </w:t>
      </w:r>
      <w:r w:rsidR="00046B6A" w:rsidRPr="000D6F44">
        <w:rPr>
          <w:sz w:val="22"/>
          <w:szCs w:val="22"/>
        </w:rPr>
        <w:t>preventive services</w:t>
      </w:r>
      <w:r w:rsidR="0003757F" w:rsidRPr="000D6F44">
        <w:rPr>
          <w:sz w:val="22"/>
          <w:szCs w:val="22"/>
        </w:rPr>
        <w:t xml:space="preserve"> within their communit</w:t>
      </w:r>
      <w:r w:rsidR="0023671D">
        <w:rPr>
          <w:sz w:val="22"/>
          <w:szCs w:val="22"/>
        </w:rPr>
        <w:t>ies</w:t>
      </w:r>
      <w:r w:rsidR="0003757F" w:rsidRPr="000D6F44">
        <w:rPr>
          <w:sz w:val="22"/>
          <w:szCs w:val="22"/>
        </w:rPr>
        <w:t>,</w:t>
      </w:r>
      <w:r w:rsidR="00F022DC">
        <w:rPr>
          <w:sz w:val="22"/>
          <w:szCs w:val="22"/>
        </w:rPr>
        <w:t>”</w:t>
      </w:r>
      <w:r w:rsidR="0003757F" w:rsidRPr="000D6F44">
        <w:rPr>
          <w:sz w:val="22"/>
          <w:szCs w:val="22"/>
        </w:rPr>
        <w:t xml:space="preserve"> he said.</w:t>
      </w:r>
    </w:p>
    <w:p w:rsidR="00272590" w:rsidRPr="00A80244" w:rsidRDefault="002175B1" w:rsidP="007D2F37">
      <w:pPr>
        <w:spacing w:line="480" w:lineRule="auto"/>
        <w:ind w:firstLine="360"/>
        <w:rPr>
          <w:spacing w:val="-2"/>
          <w:sz w:val="22"/>
          <w:szCs w:val="22"/>
        </w:rPr>
      </w:pPr>
      <w:r w:rsidRPr="00A80244">
        <w:rPr>
          <w:spacing w:val="-2"/>
          <w:sz w:val="22"/>
          <w:szCs w:val="22"/>
        </w:rPr>
        <w:t>“</w:t>
      </w:r>
      <w:r w:rsidR="00661219" w:rsidRPr="00A80244">
        <w:rPr>
          <w:spacing w:val="-2"/>
          <w:sz w:val="22"/>
          <w:szCs w:val="22"/>
        </w:rPr>
        <w:t xml:space="preserve">The cost barrier was largely addressed for Medicare beneficiaries through the </w:t>
      </w:r>
      <w:r w:rsidR="00630C10" w:rsidRPr="00A80244">
        <w:rPr>
          <w:spacing w:val="-2"/>
          <w:sz w:val="22"/>
          <w:szCs w:val="22"/>
        </w:rPr>
        <w:t xml:space="preserve">Patient Protection and </w:t>
      </w:r>
      <w:r w:rsidR="00661219" w:rsidRPr="00A80244">
        <w:rPr>
          <w:spacing w:val="-2"/>
          <w:sz w:val="22"/>
          <w:szCs w:val="22"/>
        </w:rPr>
        <w:t>Affordable Care Act</w:t>
      </w:r>
      <w:r w:rsidRPr="00A80244">
        <w:rPr>
          <w:spacing w:val="-2"/>
          <w:sz w:val="22"/>
          <w:szCs w:val="22"/>
        </w:rPr>
        <w:t xml:space="preserve"> </w:t>
      </w:r>
      <w:r w:rsidR="00630C10" w:rsidRPr="00A80244">
        <w:rPr>
          <w:spacing w:val="-2"/>
          <w:sz w:val="22"/>
          <w:szCs w:val="22"/>
        </w:rPr>
        <w:t xml:space="preserve">(ACA) </w:t>
      </w:r>
      <w:r w:rsidRPr="00A80244">
        <w:rPr>
          <w:spacing w:val="-2"/>
          <w:sz w:val="22"/>
          <w:szCs w:val="22"/>
        </w:rPr>
        <w:t>(</w:t>
      </w:r>
      <w:r w:rsidR="00630C10" w:rsidRPr="00A80244">
        <w:rPr>
          <w:spacing w:val="-2"/>
          <w:sz w:val="22"/>
          <w:szCs w:val="22"/>
        </w:rPr>
        <w:t>P.L. 111-148)</w:t>
      </w:r>
      <w:r w:rsidR="00661219" w:rsidRPr="00A80244">
        <w:rPr>
          <w:spacing w:val="-2"/>
          <w:sz w:val="22"/>
          <w:szCs w:val="22"/>
        </w:rPr>
        <w:t xml:space="preserve">, which </w:t>
      </w:r>
      <w:r w:rsidR="00E62312" w:rsidRPr="00A80244">
        <w:rPr>
          <w:spacing w:val="-2"/>
          <w:sz w:val="22"/>
          <w:szCs w:val="22"/>
        </w:rPr>
        <w:t>expand</w:t>
      </w:r>
      <w:r w:rsidRPr="00A80244">
        <w:rPr>
          <w:spacing w:val="-2"/>
          <w:sz w:val="22"/>
          <w:szCs w:val="22"/>
        </w:rPr>
        <w:t>s</w:t>
      </w:r>
      <w:r w:rsidR="00E62312" w:rsidRPr="00A80244">
        <w:rPr>
          <w:spacing w:val="-2"/>
          <w:sz w:val="22"/>
          <w:szCs w:val="22"/>
        </w:rPr>
        <w:t xml:space="preserve"> Me</w:t>
      </w:r>
      <w:r w:rsidR="00643907" w:rsidRPr="00A80244">
        <w:rPr>
          <w:spacing w:val="-2"/>
          <w:sz w:val="22"/>
          <w:szCs w:val="22"/>
        </w:rPr>
        <w:t xml:space="preserve">dicare coverage for preventive </w:t>
      </w:r>
      <w:r w:rsidR="00E62312" w:rsidRPr="00A80244">
        <w:rPr>
          <w:spacing w:val="-2"/>
          <w:sz w:val="22"/>
          <w:szCs w:val="22"/>
        </w:rPr>
        <w:t xml:space="preserve">services </w:t>
      </w:r>
      <w:r w:rsidR="00A93681" w:rsidRPr="00A80244">
        <w:rPr>
          <w:spacing w:val="-2"/>
          <w:sz w:val="22"/>
          <w:szCs w:val="22"/>
        </w:rPr>
        <w:t xml:space="preserve">recommended by the USPSTF </w:t>
      </w:r>
      <w:r w:rsidR="00E62312" w:rsidRPr="00A80244">
        <w:rPr>
          <w:spacing w:val="-2"/>
          <w:sz w:val="22"/>
          <w:szCs w:val="22"/>
        </w:rPr>
        <w:t xml:space="preserve">and </w:t>
      </w:r>
      <w:r w:rsidR="00661219" w:rsidRPr="00A80244">
        <w:rPr>
          <w:spacing w:val="-2"/>
          <w:sz w:val="22"/>
          <w:szCs w:val="22"/>
        </w:rPr>
        <w:t>remove</w:t>
      </w:r>
      <w:r w:rsidRPr="00A80244">
        <w:rPr>
          <w:spacing w:val="-2"/>
          <w:sz w:val="22"/>
          <w:szCs w:val="22"/>
        </w:rPr>
        <w:t>s</w:t>
      </w:r>
      <w:r w:rsidR="00661219" w:rsidRPr="00A80244">
        <w:rPr>
          <w:spacing w:val="-2"/>
          <w:sz w:val="22"/>
          <w:szCs w:val="22"/>
        </w:rPr>
        <w:t xml:space="preserve"> out-of-pocket costs for most clinical preventive services provided under Medicare.</w:t>
      </w:r>
      <w:r w:rsidR="006C18A5" w:rsidRPr="00A80244">
        <w:rPr>
          <w:spacing w:val="-2"/>
          <w:sz w:val="22"/>
          <w:szCs w:val="22"/>
        </w:rPr>
        <w:t xml:space="preserve"> </w:t>
      </w:r>
      <w:r w:rsidR="00E62312" w:rsidRPr="00A80244">
        <w:rPr>
          <w:spacing w:val="-2"/>
          <w:sz w:val="22"/>
          <w:szCs w:val="22"/>
        </w:rPr>
        <w:t>B</w:t>
      </w:r>
      <w:r w:rsidR="006C18A5" w:rsidRPr="00A80244">
        <w:rPr>
          <w:spacing w:val="-2"/>
          <w:sz w:val="22"/>
          <w:szCs w:val="22"/>
        </w:rPr>
        <w:t>eneficiaries have access to Medicare-covered preventive services without paying a copay</w:t>
      </w:r>
      <w:r w:rsidR="00643907" w:rsidRPr="00A80244">
        <w:rPr>
          <w:spacing w:val="-2"/>
          <w:sz w:val="22"/>
          <w:szCs w:val="22"/>
        </w:rPr>
        <w:t>ment</w:t>
      </w:r>
      <w:r w:rsidR="006C18A5" w:rsidRPr="00A80244">
        <w:rPr>
          <w:spacing w:val="-2"/>
          <w:sz w:val="22"/>
          <w:szCs w:val="22"/>
        </w:rPr>
        <w:t xml:space="preserve"> or deductible, including an Annual Wellness Visit with their physicians</w:t>
      </w:r>
      <w:r w:rsidRPr="00A80244">
        <w:rPr>
          <w:spacing w:val="-2"/>
          <w:sz w:val="22"/>
          <w:szCs w:val="22"/>
        </w:rPr>
        <w:t xml:space="preserve">,” Nicole </w:t>
      </w:r>
      <w:proofErr w:type="spellStart"/>
      <w:r w:rsidRPr="00A80244">
        <w:rPr>
          <w:spacing w:val="-2"/>
          <w:sz w:val="22"/>
          <w:szCs w:val="22"/>
        </w:rPr>
        <w:t>Duritz</w:t>
      </w:r>
      <w:proofErr w:type="spellEnd"/>
      <w:r w:rsidRPr="00A80244">
        <w:rPr>
          <w:spacing w:val="-2"/>
          <w:sz w:val="22"/>
          <w:szCs w:val="22"/>
        </w:rPr>
        <w:t>, V</w:t>
      </w:r>
      <w:r w:rsidR="006809BD" w:rsidRPr="00A80244">
        <w:rPr>
          <w:spacing w:val="-2"/>
          <w:sz w:val="22"/>
          <w:szCs w:val="22"/>
        </w:rPr>
        <w:t>ice President,</w:t>
      </w:r>
      <w:r w:rsidRPr="00A80244">
        <w:rPr>
          <w:spacing w:val="-2"/>
          <w:sz w:val="22"/>
          <w:szCs w:val="22"/>
        </w:rPr>
        <w:t xml:space="preserve"> Health and Family, AARP State and National Group, Education and Outreach, said</w:t>
      </w:r>
      <w:r w:rsidR="006C18A5" w:rsidRPr="00A80244">
        <w:rPr>
          <w:spacing w:val="-2"/>
          <w:sz w:val="22"/>
          <w:szCs w:val="22"/>
        </w:rPr>
        <w:t>.</w:t>
      </w:r>
      <w:r w:rsidR="00A93681" w:rsidRPr="00A80244">
        <w:rPr>
          <w:spacing w:val="-2"/>
          <w:sz w:val="22"/>
          <w:szCs w:val="22"/>
        </w:rPr>
        <w:t xml:space="preserve"> Three vaccines are covered with no </w:t>
      </w:r>
      <w:r w:rsidR="006334EF" w:rsidRPr="00A80244">
        <w:rPr>
          <w:spacing w:val="-2"/>
          <w:sz w:val="22"/>
          <w:szCs w:val="22"/>
        </w:rPr>
        <w:t>cost sharing: influenza</w:t>
      </w:r>
      <w:r w:rsidR="00A93681" w:rsidRPr="00A80244">
        <w:rPr>
          <w:spacing w:val="-2"/>
          <w:sz w:val="22"/>
          <w:szCs w:val="22"/>
        </w:rPr>
        <w:t xml:space="preserve">, pneumococcal and hepatitis B </w:t>
      </w:r>
      <w:r w:rsidR="00396F89" w:rsidRPr="00A80244">
        <w:rPr>
          <w:spacing w:val="-2"/>
          <w:sz w:val="22"/>
          <w:szCs w:val="22"/>
        </w:rPr>
        <w:t>(Cassidy 2010)</w:t>
      </w:r>
      <w:r w:rsidR="00A93681" w:rsidRPr="00A80244">
        <w:rPr>
          <w:spacing w:val="-2"/>
          <w:sz w:val="22"/>
          <w:szCs w:val="22"/>
        </w:rPr>
        <w:t xml:space="preserve">. </w:t>
      </w:r>
      <w:r w:rsidR="00641CEC" w:rsidRPr="00A80244">
        <w:rPr>
          <w:spacing w:val="-2"/>
          <w:sz w:val="22"/>
          <w:szCs w:val="22"/>
        </w:rPr>
        <w:t>CMS reported in October 2011 that nearly 20.5 million people with Medicare reviewed their health status at a free Annual Wellness Visit or received other preventive services with no deductible or cost sharing.</w:t>
      </w:r>
    </w:p>
    <w:p w:rsidR="005E5293" w:rsidRPr="00A80244" w:rsidRDefault="00B80FA0" w:rsidP="007D2F37">
      <w:pPr>
        <w:spacing w:line="480" w:lineRule="auto"/>
        <w:ind w:firstLine="360"/>
        <w:rPr>
          <w:spacing w:val="-4"/>
          <w:sz w:val="22"/>
          <w:szCs w:val="22"/>
        </w:rPr>
      </w:pPr>
      <w:r w:rsidRPr="00A80244">
        <w:rPr>
          <w:spacing w:val="-4"/>
          <w:sz w:val="22"/>
          <w:szCs w:val="22"/>
        </w:rPr>
        <w:t>“</w:t>
      </w:r>
      <w:r w:rsidR="006809BD" w:rsidRPr="00A80244">
        <w:rPr>
          <w:spacing w:val="-4"/>
          <w:sz w:val="22"/>
          <w:szCs w:val="22"/>
        </w:rPr>
        <w:t xml:space="preserve">The ACA </w:t>
      </w:r>
      <w:r w:rsidRPr="00A80244">
        <w:rPr>
          <w:spacing w:val="-4"/>
          <w:sz w:val="22"/>
          <w:szCs w:val="22"/>
        </w:rPr>
        <w:t xml:space="preserve">was a major fix and a </w:t>
      </w:r>
      <w:r w:rsidR="006809BD" w:rsidRPr="00A80244">
        <w:rPr>
          <w:spacing w:val="-4"/>
          <w:sz w:val="22"/>
          <w:szCs w:val="22"/>
        </w:rPr>
        <w:t xml:space="preserve">significant </w:t>
      </w:r>
      <w:r w:rsidRPr="00A80244">
        <w:rPr>
          <w:spacing w:val="-4"/>
          <w:sz w:val="22"/>
          <w:szCs w:val="22"/>
        </w:rPr>
        <w:t xml:space="preserve">step forward </w:t>
      </w:r>
      <w:r w:rsidR="005E1F2B" w:rsidRPr="00A80244">
        <w:rPr>
          <w:spacing w:val="-4"/>
          <w:sz w:val="22"/>
          <w:szCs w:val="22"/>
        </w:rPr>
        <w:t xml:space="preserve">in </w:t>
      </w:r>
      <w:r w:rsidRPr="00A80244">
        <w:rPr>
          <w:spacing w:val="-4"/>
          <w:sz w:val="22"/>
          <w:szCs w:val="22"/>
        </w:rPr>
        <w:t>eliminating the copayments</w:t>
      </w:r>
      <w:r w:rsidR="00B85A76" w:rsidRPr="00A80244">
        <w:rPr>
          <w:spacing w:val="-4"/>
          <w:sz w:val="22"/>
          <w:szCs w:val="22"/>
        </w:rPr>
        <w:t xml:space="preserve"> and</w:t>
      </w:r>
      <w:r w:rsidRPr="00A80244">
        <w:rPr>
          <w:spacing w:val="-4"/>
          <w:sz w:val="22"/>
          <w:szCs w:val="22"/>
        </w:rPr>
        <w:t xml:space="preserve"> deductibles</w:t>
      </w:r>
      <w:r w:rsidR="00B85A76" w:rsidRPr="00A80244">
        <w:rPr>
          <w:spacing w:val="-4"/>
          <w:sz w:val="22"/>
          <w:szCs w:val="22"/>
        </w:rPr>
        <w:t>,</w:t>
      </w:r>
      <w:r w:rsidRPr="00A80244">
        <w:rPr>
          <w:spacing w:val="-4"/>
          <w:sz w:val="22"/>
          <w:szCs w:val="22"/>
        </w:rPr>
        <w:t xml:space="preserve"> and expanding coverage for services,” </w:t>
      </w:r>
      <w:r w:rsidR="008635C4" w:rsidRPr="00A80244">
        <w:rPr>
          <w:spacing w:val="-4"/>
          <w:sz w:val="22"/>
          <w:szCs w:val="22"/>
        </w:rPr>
        <w:t xml:space="preserve">Dr. </w:t>
      </w:r>
      <w:r w:rsidRPr="00A80244">
        <w:rPr>
          <w:spacing w:val="-4"/>
          <w:sz w:val="22"/>
          <w:szCs w:val="22"/>
        </w:rPr>
        <w:t>Wallace</w:t>
      </w:r>
      <w:r w:rsidR="00595102" w:rsidRPr="00A80244">
        <w:rPr>
          <w:spacing w:val="-4"/>
          <w:sz w:val="22"/>
          <w:szCs w:val="22"/>
        </w:rPr>
        <w:t xml:space="preserve"> said.</w:t>
      </w:r>
      <w:r w:rsidR="005E5293" w:rsidRPr="00A80244">
        <w:rPr>
          <w:spacing w:val="-4"/>
          <w:sz w:val="22"/>
          <w:szCs w:val="22"/>
        </w:rPr>
        <w:t xml:space="preserve"> </w:t>
      </w:r>
      <w:r w:rsidRPr="00A80244">
        <w:rPr>
          <w:spacing w:val="-4"/>
          <w:sz w:val="22"/>
          <w:szCs w:val="22"/>
        </w:rPr>
        <w:t>However, other financial barriers remain</w:t>
      </w:r>
      <w:r w:rsidR="005E5293" w:rsidRPr="00A80244">
        <w:rPr>
          <w:spacing w:val="-4"/>
          <w:sz w:val="22"/>
          <w:szCs w:val="22"/>
        </w:rPr>
        <w:t xml:space="preserve">, including transportation costs and difficulty taking time off from work to get services, </w:t>
      </w:r>
      <w:r w:rsidR="008635C4" w:rsidRPr="00A80244">
        <w:rPr>
          <w:spacing w:val="-4"/>
          <w:sz w:val="22"/>
          <w:szCs w:val="22"/>
        </w:rPr>
        <w:t xml:space="preserve">he </w:t>
      </w:r>
      <w:r w:rsidR="005E5293" w:rsidRPr="00A80244">
        <w:rPr>
          <w:spacing w:val="-4"/>
          <w:sz w:val="22"/>
          <w:szCs w:val="22"/>
        </w:rPr>
        <w:t>noted. “Medicare coverage of clinical preventive services is a major step forward towards full use of effective preventive services, but it is just one pass down the field and there are still several key plays needed to reach the goal.”</w:t>
      </w:r>
    </w:p>
    <w:p w:rsidR="00272590" w:rsidRPr="000D6F44" w:rsidRDefault="006809BD" w:rsidP="007D2F37">
      <w:pPr>
        <w:spacing w:line="480" w:lineRule="auto"/>
        <w:ind w:firstLine="360"/>
        <w:rPr>
          <w:sz w:val="22"/>
          <w:szCs w:val="22"/>
        </w:rPr>
      </w:pPr>
      <w:r>
        <w:rPr>
          <w:sz w:val="22"/>
          <w:szCs w:val="22"/>
        </w:rPr>
        <w:t>T</w:t>
      </w:r>
      <w:r w:rsidR="00272590" w:rsidRPr="000D6F44">
        <w:rPr>
          <w:sz w:val="22"/>
          <w:szCs w:val="22"/>
        </w:rPr>
        <w:t xml:space="preserve">he </w:t>
      </w:r>
      <w:r>
        <w:rPr>
          <w:sz w:val="22"/>
          <w:szCs w:val="22"/>
        </w:rPr>
        <w:t xml:space="preserve">ACA </w:t>
      </w:r>
      <w:r w:rsidR="00272590" w:rsidRPr="000D6F44">
        <w:rPr>
          <w:sz w:val="22"/>
          <w:szCs w:val="22"/>
        </w:rPr>
        <w:t xml:space="preserve">did not change </w:t>
      </w:r>
      <w:r w:rsidR="006C3C4B">
        <w:rPr>
          <w:sz w:val="22"/>
          <w:szCs w:val="22"/>
        </w:rPr>
        <w:t xml:space="preserve">other </w:t>
      </w:r>
      <w:r w:rsidR="00272590" w:rsidRPr="000D6F44">
        <w:rPr>
          <w:sz w:val="22"/>
          <w:szCs w:val="22"/>
        </w:rPr>
        <w:t xml:space="preserve">screening services covered by Medicare but </w:t>
      </w:r>
      <w:r w:rsidR="005E1F2B">
        <w:rPr>
          <w:sz w:val="22"/>
          <w:szCs w:val="22"/>
        </w:rPr>
        <w:t>not recommended by the USPSTF</w:t>
      </w:r>
      <w:r w:rsidR="00EE40DF">
        <w:rPr>
          <w:sz w:val="22"/>
          <w:szCs w:val="22"/>
        </w:rPr>
        <w:t xml:space="preserve"> </w:t>
      </w:r>
      <w:r w:rsidR="00EE40DF" w:rsidRPr="000D6F44">
        <w:rPr>
          <w:sz w:val="22"/>
          <w:szCs w:val="22"/>
        </w:rPr>
        <w:t xml:space="preserve">– </w:t>
      </w:r>
      <w:r w:rsidR="00272590" w:rsidRPr="000D6F44">
        <w:rPr>
          <w:sz w:val="22"/>
          <w:szCs w:val="22"/>
        </w:rPr>
        <w:t>such as glaucoma screening, diabetes self-management training services and barium enema furnished as a colorect</w:t>
      </w:r>
      <w:r w:rsidR="005E1F2B">
        <w:rPr>
          <w:sz w:val="22"/>
          <w:szCs w:val="22"/>
        </w:rPr>
        <w:t>al cancer screening service</w:t>
      </w:r>
      <w:r w:rsidR="006C3C4B">
        <w:rPr>
          <w:sz w:val="22"/>
          <w:szCs w:val="22"/>
        </w:rPr>
        <w:t xml:space="preserve">. These </w:t>
      </w:r>
      <w:r w:rsidR="00272590" w:rsidRPr="000D6F44">
        <w:rPr>
          <w:sz w:val="22"/>
          <w:szCs w:val="22"/>
        </w:rPr>
        <w:t>are still subject to the deductible and cost-sharing requirements</w:t>
      </w:r>
      <w:r w:rsidR="00396F89">
        <w:rPr>
          <w:sz w:val="22"/>
          <w:szCs w:val="22"/>
        </w:rPr>
        <w:t xml:space="preserve"> (Cassidy 2010)</w:t>
      </w:r>
      <w:r w:rsidR="00272590" w:rsidRPr="000D6F44">
        <w:rPr>
          <w:sz w:val="22"/>
          <w:szCs w:val="22"/>
        </w:rPr>
        <w:t>.</w:t>
      </w:r>
    </w:p>
    <w:p w:rsidR="00BB19A0" w:rsidRPr="000D6F44" w:rsidRDefault="008635C4" w:rsidP="007D2F37">
      <w:pPr>
        <w:spacing w:line="480" w:lineRule="auto"/>
        <w:ind w:firstLine="360"/>
        <w:rPr>
          <w:sz w:val="22"/>
          <w:szCs w:val="22"/>
        </w:rPr>
      </w:pPr>
      <w:r>
        <w:rPr>
          <w:sz w:val="22"/>
          <w:szCs w:val="22"/>
        </w:rPr>
        <w:t xml:space="preserve">Dr. </w:t>
      </w:r>
      <w:r w:rsidR="000C43A9" w:rsidRPr="000D6F44">
        <w:rPr>
          <w:sz w:val="22"/>
          <w:szCs w:val="22"/>
        </w:rPr>
        <w:t>Wallace classifies barriers as personal, organizational and structural. Personal barriers include health beliefs and fears</w:t>
      </w:r>
      <w:r w:rsidR="002D7C96" w:rsidRPr="000D6F44">
        <w:rPr>
          <w:sz w:val="22"/>
          <w:szCs w:val="22"/>
        </w:rPr>
        <w:t>. For example,</w:t>
      </w:r>
      <w:r w:rsidR="000C43A9" w:rsidRPr="000D6F44">
        <w:rPr>
          <w:sz w:val="22"/>
          <w:szCs w:val="22"/>
        </w:rPr>
        <w:t xml:space="preserve"> “some people don’t want </w:t>
      </w:r>
      <w:r w:rsidR="002D7C96" w:rsidRPr="000D6F44">
        <w:rPr>
          <w:sz w:val="22"/>
          <w:szCs w:val="22"/>
        </w:rPr>
        <w:t xml:space="preserve">to get </w:t>
      </w:r>
      <w:r w:rsidR="000C43A9" w:rsidRPr="000D6F44">
        <w:rPr>
          <w:sz w:val="22"/>
          <w:szCs w:val="22"/>
        </w:rPr>
        <w:t xml:space="preserve">cancer screening because they are afraid they’ll get cancer.” Organizational </w:t>
      </w:r>
      <w:r w:rsidR="002D7C96" w:rsidRPr="000D6F44">
        <w:rPr>
          <w:sz w:val="22"/>
          <w:szCs w:val="22"/>
        </w:rPr>
        <w:t xml:space="preserve">barriers </w:t>
      </w:r>
      <w:r w:rsidR="000C43A9" w:rsidRPr="000D6F44">
        <w:rPr>
          <w:sz w:val="22"/>
          <w:szCs w:val="22"/>
        </w:rPr>
        <w:t>include whether the service is nearby, accessible, easy to get to and offered at a reasonable cost. These are barriers that people view as a hassle or inconvenience to get a service. Structural or societal issues include financing, liabilit</w:t>
      </w:r>
      <w:r w:rsidR="002D7C96" w:rsidRPr="000D6F44">
        <w:rPr>
          <w:sz w:val="22"/>
          <w:szCs w:val="22"/>
        </w:rPr>
        <w:t>y concerns, fragmented services or</w:t>
      </w:r>
      <w:r w:rsidR="000C43A9" w:rsidRPr="000D6F44">
        <w:rPr>
          <w:sz w:val="22"/>
          <w:szCs w:val="22"/>
        </w:rPr>
        <w:t xml:space="preserve"> </w:t>
      </w:r>
      <w:r w:rsidR="002D7C96" w:rsidRPr="000D6F44">
        <w:rPr>
          <w:sz w:val="22"/>
          <w:szCs w:val="22"/>
        </w:rPr>
        <w:lastRenderedPageBreak/>
        <w:t xml:space="preserve">different </w:t>
      </w:r>
      <w:r w:rsidR="000C43A9" w:rsidRPr="000D6F44">
        <w:rPr>
          <w:sz w:val="22"/>
          <w:szCs w:val="22"/>
        </w:rPr>
        <w:t xml:space="preserve">funding streams </w:t>
      </w:r>
      <w:r w:rsidR="002D7C96" w:rsidRPr="000D6F44">
        <w:rPr>
          <w:sz w:val="22"/>
          <w:szCs w:val="22"/>
        </w:rPr>
        <w:t xml:space="preserve">for different services </w:t>
      </w:r>
      <w:r w:rsidR="000C43A9" w:rsidRPr="000D6F44">
        <w:rPr>
          <w:sz w:val="22"/>
          <w:szCs w:val="22"/>
        </w:rPr>
        <w:t xml:space="preserve">that “make it more difficult to get the preventive services you should,” </w:t>
      </w:r>
      <w:r>
        <w:rPr>
          <w:sz w:val="22"/>
          <w:szCs w:val="22"/>
        </w:rPr>
        <w:t xml:space="preserve">Dr. </w:t>
      </w:r>
      <w:r w:rsidR="000C43A9" w:rsidRPr="000D6F44">
        <w:rPr>
          <w:sz w:val="22"/>
          <w:szCs w:val="22"/>
        </w:rPr>
        <w:t>Wallace said.</w:t>
      </w:r>
    </w:p>
    <w:p w:rsidR="0003757F" w:rsidRPr="00FD59EE" w:rsidRDefault="0003757F" w:rsidP="007D2F37">
      <w:pPr>
        <w:keepNext/>
        <w:spacing w:line="480" w:lineRule="auto"/>
        <w:ind w:left="720" w:hanging="720"/>
        <w:rPr>
          <w:b/>
          <w:sz w:val="24"/>
          <w:szCs w:val="24"/>
        </w:rPr>
      </w:pPr>
      <w:r w:rsidRPr="00FD59EE">
        <w:rPr>
          <w:b/>
          <w:sz w:val="24"/>
          <w:szCs w:val="24"/>
        </w:rPr>
        <w:t xml:space="preserve">PUBLIC HEALTH ROLE </w:t>
      </w:r>
    </w:p>
    <w:p w:rsidR="00087AD0" w:rsidRPr="00AD2788" w:rsidRDefault="0003757F" w:rsidP="007D2F37">
      <w:pPr>
        <w:spacing w:line="480" w:lineRule="auto"/>
        <w:ind w:firstLine="360"/>
        <w:rPr>
          <w:sz w:val="22"/>
          <w:szCs w:val="22"/>
        </w:rPr>
      </w:pPr>
      <w:r w:rsidRPr="00AD2788">
        <w:rPr>
          <w:sz w:val="22"/>
          <w:szCs w:val="22"/>
        </w:rPr>
        <w:t xml:space="preserve">As the lead government agency for the nation’s public health, CDC plays a central role in the efforts to help state and community public health agencies </w:t>
      </w:r>
      <w:r w:rsidR="00E148E6" w:rsidRPr="00AD2788">
        <w:rPr>
          <w:sz w:val="22"/>
          <w:szCs w:val="22"/>
        </w:rPr>
        <w:t xml:space="preserve">and other community-based organizations </w:t>
      </w:r>
      <w:r w:rsidRPr="00AD2788">
        <w:rPr>
          <w:sz w:val="22"/>
          <w:szCs w:val="22"/>
        </w:rPr>
        <w:t xml:space="preserve">identify and </w:t>
      </w:r>
      <w:r w:rsidR="00E148E6" w:rsidRPr="00AD2788">
        <w:rPr>
          <w:sz w:val="22"/>
          <w:szCs w:val="22"/>
        </w:rPr>
        <w:t xml:space="preserve">facilitate the use of </w:t>
      </w:r>
      <w:r w:rsidRPr="00AD2788">
        <w:rPr>
          <w:sz w:val="22"/>
          <w:szCs w:val="22"/>
        </w:rPr>
        <w:t xml:space="preserve">effective clinical preventive services, and ensure they are part of programs to protect the health of older adults. CDC’s Healthy Aging Program works to integrate public health </w:t>
      </w:r>
      <w:r w:rsidR="005056F6" w:rsidRPr="00AD2788">
        <w:rPr>
          <w:sz w:val="22"/>
          <w:szCs w:val="22"/>
        </w:rPr>
        <w:t xml:space="preserve">efforts </w:t>
      </w:r>
      <w:r w:rsidRPr="00AD2788">
        <w:rPr>
          <w:sz w:val="22"/>
          <w:szCs w:val="22"/>
        </w:rPr>
        <w:t>and aging services and improve outreach for health promotion and disease prevention for older adults.</w:t>
      </w:r>
      <w:r w:rsidR="00087AD0" w:rsidRPr="00AD2788">
        <w:rPr>
          <w:sz w:val="22"/>
          <w:szCs w:val="22"/>
        </w:rPr>
        <w:t xml:space="preserve"> </w:t>
      </w:r>
    </w:p>
    <w:p w:rsidR="009015C6" w:rsidRPr="00AD2788" w:rsidRDefault="0003757F" w:rsidP="007D2F37">
      <w:pPr>
        <w:spacing w:line="480" w:lineRule="auto"/>
        <w:ind w:firstLine="360"/>
        <w:rPr>
          <w:sz w:val="22"/>
          <w:szCs w:val="22"/>
        </w:rPr>
      </w:pPr>
      <w:r w:rsidRPr="00AD2788">
        <w:rPr>
          <w:sz w:val="22"/>
          <w:szCs w:val="22"/>
        </w:rPr>
        <w:t xml:space="preserve">Among CDC partners in its disease prevention efforts are AARP, </w:t>
      </w:r>
      <w:r w:rsidR="00476CBE" w:rsidRPr="00AD2788">
        <w:rPr>
          <w:sz w:val="22"/>
          <w:szCs w:val="22"/>
        </w:rPr>
        <w:t xml:space="preserve">Administration on Aging, Alzheimer’s Association, </w:t>
      </w:r>
      <w:r w:rsidR="00566FE1" w:rsidRPr="00AD2788">
        <w:rPr>
          <w:sz w:val="22"/>
          <w:szCs w:val="22"/>
        </w:rPr>
        <w:t xml:space="preserve">American Medical Association, </w:t>
      </w:r>
      <w:r w:rsidRPr="00AD2788">
        <w:rPr>
          <w:sz w:val="22"/>
          <w:szCs w:val="22"/>
        </w:rPr>
        <w:t xml:space="preserve">National Association of Chronic Disease Directors, </w:t>
      </w:r>
      <w:r w:rsidR="00476CBE" w:rsidRPr="00AD2788">
        <w:rPr>
          <w:sz w:val="22"/>
          <w:szCs w:val="22"/>
        </w:rPr>
        <w:t xml:space="preserve">National Institutes of Health, </w:t>
      </w:r>
      <w:r w:rsidRPr="00AD2788">
        <w:rPr>
          <w:sz w:val="22"/>
          <w:szCs w:val="22"/>
        </w:rPr>
        <w:t xml:space="preserve">the </w:t>
      </w:r>
      <w:r w:rsidR="00630C10" w:rsidRPr="00AD2788">
        <w:rPr>
          <w:sz w:val="22"/>
          <w:szCs w:val="22"/>
        </w:rPr>
        <w:t xml:space="preserve">CDC </w:t>
      </w:r>
      <w:r w:rsidRPr="00AD2788">
        <w:rPr>
          <w:sz w:val="22"/>
          <w:szCs w:val="22"/>
        </w:rPr>
        <w:t>Healthy Aging Research Network</w:t>
      </w:r>
      <w:r w:rsidR="00630C10" w:rsidRPr="00AD2788">
        <w:rPr>
          <w:sz w:val="22"/>
          <w:szCs w:val="22"/>
        </w:rPr>
        <w:t xml:space="preserve"> comprising a subset of CDC’s Prevention Research Centers and</w:t>
      </w:r>
      <w:r w:rsidRPr="00AD2788">
        <w:rPr>
          <w:sz w:val="22"/>
          <w:szCs w:val="22"/>
        </w:rPr>
        <w:t xml:space="preserve"> many others. </w:t>
      </w:r>
    </w:p>
    <w:p w:rsidR="005056F6" w:rsidRPr="00AD2788" w:rsidRDefault="005056F6" w:rsidP="007D2F37">
      <w:pPr>
        <w:spacing w:line="480" w:lineRule="auto"/>
        <w:ind w:firstLine="360"/>
        <w:rPr>
          <w:sz w:val="22"/>
          <w:szCs w:val="22"/>
        </w:rPr>
      </w:pPr>
      <w:r w:rsidRPr="00AD2788">
        <w:rPr>
          <w:sz w:val="22"/>
          <w:szCs w:val="22"/>
        </w:rPr>
        <w:t>In 20</w:t>
      </w:r>
      <w:r w:rsidR="00DC2959" w:rsidRPr="00AD2788">
        <w:rPr>
          <w:sz w:val="22"/>
          <w:szCs w:val="22"/>
        </w:rPr>
        <w:t>10</w:t>
      </w:r>
      <w:r w:rsidRPr="00AD2788">
        <w:rPr>
          <w:sz w:val="22"/>
          <w:szCs w:val="22"/>
        </w:rPr>
        <w:t>, in collaboration with the American Medical Association and AARP, CDC</w:t>
      </w:r>
      <w:r w:rsidR="004578F9" w:rsidRPr="00AD2788">
        <w:rPr>
          <w:sz w:val="22"/>
          <w:szCs w:val="22"/>
        </w:rPr>
        <w:t xml:space="preserve"> </w:t>
      </w:r>
      <w:r w:rsidRPr="00AD2788">
        <w:rPr>
          <w:sz w:val="22"/>
          <w:szCs w:val="22"/>
        </w:rPr>
        <w:t xml:space="preserve">released a report, </w:t>
      </w:r>
      <w:r w:rsidRPr="00AD2788">
        <w:rPr>
          <w:i/>
          <w:sz w:val="22"/>
          <w:szCs w:val="22"/>
        </w:rPr>
        <w:t>Promoting Preventive Services for Adults 50-64: Community and Clinical Partnerships</w:t>
      </w:r>
      <w:r w:rsidRPr="00AD2788">
        <w:rPr>
          <w:sz w:val="22"/>
          <w:szCs w:val="22"/>
        </w:rPr>
        <w:t>, to highlight key issues, strategies, and resources for promoting broader use of preventive services in this age group</w:t>
      </w:r>
      <w:r w:rsidR="00834FE8" w:rsidRPr="00AD2788">
        <w:rPr>
          <w:sz w:val="22"/>
          <w:szCs w:val="22"/>
        </w:rPr>
        <w:t xml:space="preserve"> (CDC, 2009)</w:t>
      </w:r>
      <w:r w:rsidRPr="00AD2788">
        <w:rPr>
          <w:sz w:val="22"/>
          <w:szCs w:val="22"/>
        </w:rPr>
        <w:t>. The report reflects the growing recognition that we cannot rely solely on an already thinly stretched health</w:t>
      </w:r>
      <w:r w:rsidR="002174C2">
        <w:rPr>
          <w:sz w:val="22"/>
          <w:szCs w:val="22"/>
        </w:rPr>
        <w:t xml:space="preserve"> </w:t>
      </w:r>
      <w:r w:rsidRPr="00AD2788">
        <w:rPr>
          <w:sz w:val="22"/>
          <w:szCs w:val="22"/>
        </w:rPr>
        <w:t xml:space="preserve">care system, but must reinforce and bolster this system with strong linkages to community providers, public policies, and supportive environments. The report brings together valuable data and examples of successful strategies for promoting clinical preventive services in community settings, and embodies the strategic thinking of multiple organizations </w:t>
      </w:r>
      <w:r w:rsidR="008D3B60" w:rsidRPr="00AD2788">
        <w:rPr>
          <w:sz w:val="22"/>
          <w:szCs w:val="22"/>
        </w:rPr>
        <w:t>committed to ensuring adults are provided the full benefit of scientific advances to preserve and protect their health.</w:t>
      </w:r>
    </w:p>
    <w:p w:rsidR="008D3B60" w:rsidRPr="00AD2788" w:rsidRDefault="008D3B60" w:rsidP="007D2F37">
      <w:pPr>
        <w:spacing w:line="480" w:lineRule="auto"/>
        <w:ind w:firstLine="360"/>
        <w:rPr>
          <w:sz w:val="22"/>
          <w:szCs w:val="22"/>
        </w:rPr>
      </w:pPr>
      <w:r w:rsidRPr="00AD2788">
        <w:rPr>
          <w:sz w:val="22"/>
          <w:szCs w:val="22"/>
        </w:rPr>
        <w:t>In follow up to the report focusing on adults ages 50-64, CDC</w:t>
      </w:r>
      <w:r w:rsidR="004578F9" w:rsidRPr="00AD2788">
        <w:rPr>
          <w:sz w:val="22"/>
          <w:szCs w:val="22"/>
        </w:rPr>
        <w:t xml:space="preserve"> </w:t>
      </w:r>
      <w:r w:rsidRPr="00AD2788">
        <w:rPr>
          <w:sz w:val="22"/>
          <w:szCs w:val="22"/>
        </w:rPr>
        <w:t xml:space="preserve">released a report, </w:t>
      </w:r>
      <w:r w:rsidRPr="00AD2788">
        <w:rPr>
          <w:i/>
          <w:sz w:val="22"/>
          <w:szCs w:val="22"/>
        </w:rPr>
        <w:t xml:space="preserve">Enhancing Use of Clinical Preventive Services </w:t>
      </w:r>
      <w:r w:rsidR="00F53E4B" w:rsidRPr="00AD2788">
        <w:rPr>
          <w:i/>
          <w:sz w:val="22"/>
          <w:szCs w:val="22"/>
        </w:rPr>
        <w:t>among</w:t>
      </w:r>
      <w:r w:rsidRPr="00AD2788">
        <w:rPr>
          <w:i/>
          <w:sz w:val="22"/>
          <w:szCs w:val="22"/>
        </w:rPr>
        <w:t xml:space="preserve"> Older Adults: Closing the Gap </w:t>
      </w:r>
      <w:r w:rsidRPr="00AD2788">
        <w:rPr>
          <w:sz w:val="22"/>
          <w:szCs w:val="22"/>
        </w:rPr>
        <w:t>in 2011</w:t>
      </w:r>
      <w:r w:rsidR="00834FE8" w:rsidRPr="00AD2788">
        <w:rPr>
          <w:sz w:val="22"/>
          <w:szCs w:val="22"/>
        </w:rPr>
        <w:t xml:space="preserve"> (CDC 2011b)</w:t>
      </w:r>
      <w:r w:rsidRPr="00AD2788">
        <w:rPr>
          <w:i/>
          <w:sz w:val="22"/>
          <w:szCs w:val="22"/>
        </w:rPr>
        <w:t>.</w:t>
      </w:r>
      <w:r w:rsidRPr="00AD2788">
        <w:rPr>
          <w:sz w:val="22"/>
          <w:szCs w:val="22"/>
        </w:rPr>
        <w:t xml:space="preserve"> Developed in collaboration with federal partners (Administration on Aging, Agency for Healthcare Research and Quality, and the Centers for Medicare and Medicaid Services), this report calls attention to the use of potentially lifesaving preventive services by our nation’s growing population of adults ages 65 or older. </w:t>
      </w:r>
      <w:r w:rsidRPr="00AD2788">
        <w:rPr>
          <w:sz w:val="22"/>
          <w:szCs w:val="22"/>
        </w:rPr>
        <w:lastRenderedPageBreak/>
        <w:t>In presenting and interpreting available state and national self-reported survey data on the use of clinical preventive services, the report aims to raise awareness among public health and aging services professionals, policy makers, the media, and researchers of critical gaps and opportunities for increasing the use of such services, particularly among those who are currently underserved.</w:t>
      </w:r>
    </w:p>
    <w:p w:rsidR="004578F9" w:rsidRDefault="004578F9" w:rsidP="007D2F37">
      <w:pPr>
        <w:spacing w:line="480" w:lineRule="auto"/>
        <w:ind w:firstLine="360"/>
        <w:rPr>
          <w:sz w:val="22"/>
          <w:szCs w:val="22"/>
        </w:rPr>
      </w:pPr>
      <w:r w:rsidRPr="00AD2788">
        <w:rPr>
          <w:sz w:val="22"/>
          <w:szCs w:val="22"/>
        </w:rPr>
        <w:t xml:space="preserve">Other </w:t>
      </w:r>
      <w:r w:rsidR="00BC73C2" w:rsidRPr="00AD2788">
        <w:rPr>
          <w:sz w:val="22"/>
          <w:szCs w:val="22"/>
        </w:rPr>
        <w:t xml:space="preserve">components of CDC, those focusing on specific diseases, such as </w:t>
      </w:r>
      <w:r w:rsidRPr="00AD2788">
        <w:rPr>
          <w:sz w:val="22"/>
          <w:szCs w:val="22"/>
        </w:rPr>
        <w:t>the Division of Cancer Prevention and Control, Division of Diabetes Translation, and Division for Heart Disease and Stroke Prevention</w:t>
      </w:r>
      <w:r w:rsidR="00DC2959" w:rsidRPr="00AD2788">
        <w:rPr>
          <w:sz w:val="22"/>
          <w:szCs w:val="22"/>
        </w:rPr>
        <w:t>, have had long</w:t>
      </w:r>
      <w:r w:rsidR="00BC73C2" w:rsidRPr="00AD2788">
        <w:rPr>
          <w:sz w:val="22"/>
          <w:szCs w:val="22"/>
        </w:rPr>
        <w:t xml:space="preserve">standing efforts to promote </w:t>
      </w:r>
      <w:r w:rsidR="00DC2959" w:rsidRPr="00AD2788">
        <w:rPr>
          <w:sz w:val="22"/>
          <w:szCs w:val="22"/>
        </w:rPr>
        <w:t xml:space="preserve">screening to detect disease when it is in its earliest, most treatable stage. For example, for the past </w:t>
      </w:r>
      <w:r w:rsidR="001D6B40" w:rsidRPr="00AD2788">
        <w:rPr>
          <w:sz w:val="22"/>
          <w:szCs w:val="22"/>
        </w:rPr>
        <w:t xml:space="preserve">20 </w:t>
      </w:r>
      <w:r w:rsidR="00DC2959" w:rsidRPr="00AD2788">
        <w:rPr>
          <w:sz w:val="22"/>
          <w:szCs w:val="22"/>
        </w:rPr>
        <w:t>years, CDC’s Division of Cancer Prevention and Control’s</w:t>
      </w:r>
      <w:r w:rsidR="00DC2959" w:rsidRPr="00AD2788">
        <w:rPr>
          <w:color w:val="000000"/>
          <w:sz w:val="22"/>
          <w:szCs w:val="22"/>
        </w:rPr>
        <w:t xml:space="preserve"> National Breast and Cervical Cancer Early Detection Program has provided access to breast and cervical cancer screening services to underserved women in all 50 states, the District of </w:t>
      </w:r>
      <w:r w:rsidR="00F54342" w:rsidRPr="00AD2788">
        <w:rPr>
          <w:color w:val="000000"/>
          <w:sz w:val="22"/>
          <w:szCs w:val="22"/>
        </w:rPr>
        <w:t>Columbia, five</w:t>
      </w:r>
      <w:r w:rsidR="00AD2788" w:rsidRPr="00AD2788">
        <w:rPr>
          <w:color w:val="000000"/>
          <w:sz w:val="22"/>
          <w:szCs w:val="22"/>
        </w:rPr>
        <w:t xml:space="preserve"> </w:t>
      </w:r>
      <w:r w:rsidR="00DC2959" w:rsidRPr="00AD2788">
        <w:rPr>
          <w:color w:val="000000"/>
          <w:sz w:val="22"/>
          <w:szCs w:val="22"/>
        </w:rPr>
        <w:t>U.S. territories, and 12 tribes.</w:t>
      </w:r>
      <w:r w:rsidRPr="00AD2788">
        <w:rPr>
          <w:sz w:val="22"/>
          <w:szCs w:val="22"/>
        </w:rPr>
        <w:t xml:space="preserve"> </w:t>
      </w:r>
    </w:p>
    <w:p w:rsidR="008E42AA" w:rsidRDefault="001B280F" w:rsidP="007D2F37">
      <w:pPr>
        <w:spacing w:line="480" w:lineRule="auto"/>
        <w:ind w:firstLine="360"/>
        <w:rPr>
          <w:sz w:val="22"/>
          <w:szCs w:val="22"/>
        </w:rPr>
      </w:pPr>
      <w:r w:rsidRPr="00AD2788">
        <w:rPr>
          <w:sz w:val="22"/>
          <w:szCs w:val="22"/>
        </w:rPr>
        <w:t>CDC has also worked with the Association of American Medical Colleges through a cooperative agreement “to strengthen collaborations between academic medicine and public health”</w:t>
      </w:r>
      <w:r w:rsidR="00396F89" w:rsidRPr="00AD2788">
        <w:rPr>
          <w:sz w:val="22"/>
          <w:szCs w:val="22"/>
        </w:rPr>
        <w:t xml:space="preserve"> (</w:t>
      </w:r>
      <w:proofErr w:type="spellStart"/>
      <w:r w:rsidR="00396F89" w:rsidRPr="00AD2788">
        <w:rPr>
          <w:sz w:val="22"/>
          <w:szCs w:val="22"/>
        </w:rPr>
        <w:t>Maeshiro</w:t>
      </w:r>
      <w:proofErr w:type="spellEnd"/>
      <w:r w:rsidR="00396F89" w:rsidRPr="00AD2788">
        <w:rPr>
          <w:sz w:val="22"/>
          <w:szCs w:val="22"/>
        </w:rPr>
        <w:t xml:space="preserve"> 2011)</w:t>
      </w:r>
      <w:r w:rsidR="007921A1" w:rsidRPr="00AD2788">
        <w:rPr>
          <w:sz w:val="22"/>
          <w:szCs w:val="22"/>
        </w:rPr>
        <w:t>.</w:t>
      </w:r>
      <w:r w:rsidRPr="00AD2788">
        <w:rPr>
          <w:sz w:val="22"/>
          <w:szCs w:val="22"/>
        </w:rPr>
        <w:t xml:space="preserve"> </w:t>
      </w:r>
      <w:r w:rsidR="008E42AA" w:rsidRPr="00AD2788">
        <w:rPr>
          <w:sz w:val="22"/>
          <w:szCs w:val="22"/>
        </w:rPr>
        <w:t>The focus has been on</w:t>
      </w:r>
      <w:r w:rsidRPr="00AD2788">
        <w:rPr>
          <w:sz w:val="22"/>
          <w:szCs w:val="22"/>
        </w:rPr>
        <w:t xml:space="preserve"> improving </w:t>
      </w:r>
      <w:r w:rsidR="009015C6" w:rsidRPr="00AD2788">
        <w:rPr>
          <w:sz w:val="22"/>
          <w:szCs w:val="22"/>
        </w:rPr>
        <w:t xml:space="preserve">the </w:t>
      </w:r>
      <w:r w:rsidRPr="00AD2788">
        <w:rPr>
          <w:sz w:val="22"/>
          <w:szCs w:val="22"/>
        </w:rPr>
        <w:t xml:space="preserve">public health and prevention </w:t>
      </w:r>
      <w:r w:rsidR="009015C6" w:rsidRPr="00AD2788">
        <w:rPr>
          <w:sz w:val="22"/>
          <w:szCs w:val="22"/>
        </w:rPr>
        <w:t xml:space="preserve">aspects of </w:t>
      </w:r>
      <w:r w:rsidR="008E42AA" w:rsidRPr="00AD2788">
        <w:rPr>
          <w:sz w:val="22"/>
          <w:szCs w:val="22"/>
        </w:rPr>
        <w:t xml:space="preserve">medical </w:t>
      </w:r>
      <w:r w:rsidRPr="00AD2788">
        <w:rPr>
          <w:sz w:val="22"/>
          <w:szCs w:val="22"/>
        </w:rPr>
        <w:t>education</w:t>
      </w:r>
      <w:r w:rsidR="008E42AA" w:rsidRPr="00AD2788">
        <w:rPr>
          <w:sz w:val="22"/>
          <w:szCs w:val="22"/>
        </w:rPr>
        <w:t xml:space="preserve"> to give physicians “a better appreciation for these issues to help address</w:t>
      </w:r>
      <w:r w:rsidR="00267FF4" w:rsidRPr="00AD2788">
        <w:rPr>
          <w:sz w:val="22"/>
          <w:szCs w:val="22"/>
        </w:rPr>
        <w:t xml:space="preserve"> </w:t>
      </w:r>
      <w:r w:rsidR="008E42AA" w:rsidRPr="00AD2788">
        <w:rPr>
          <w:sz w:val="22"/>
          <w:szCs w:val="22"/>
        </w:rPr>
        <w:t>complex</w:t>
      </w:r>
      <w:r w:rsidR="00267FF4" w:rsidRPr="00AD2788">
        <w:rPr>
          <w:sz w:val="22"/>
          <w:szCs w:val="22"/>
        </w:rPr>
        <w:t xml:space="preserve"> </w:t>
      </w:r>
      <w:r w:rsidR="008E42AA" w:rsidRPr="00AD2788">
        <w:rPr>
          <w:sz w:val="22"/>
          <w:szCs w:val="22"/>
        </w:rPr>
        <w:t>public health challenges that include rising chronic disease burdens, persistent health disparities, and health</w:t>
      </w:r>
      <w:r w:rsidR="00267FF4" w:rsidRPr="00AD2788">
        <w:rPr>
          <w:sz w:val="22"/>
          <w:szCs w:val="22"/>
        </w:rPr>
        <w:t xml:space="preserve"> </w:t>
      </w:r>
      <w:r w:rsidR="008E42AA" w:rsidRPr="00AD2788">
        <w:rPr>
          <w:sz w:val="22"/>
          <w:szCs w:val="22"/>
        </w:rPr>
        <w:t xml:space="preserve">care </w:t>
      </w:r>
      <w:r w:rsidR="000B6E18" w:rsidRPr="00AD2788">
        <w:rPr>
          <w:sz w:val="22"/>
          <w:szCs w:val="22"/>
        </w:rPr>
        <w:t>financing</w:t>
      </w:r>
      <w:r w:rsidR="008E42AA" w:rsidRPr="00AD2788">
        <w:rPr>
          <w:sz w:val="22"/>
          <w:szCs w:val="22"/>
        </w:rPr>
        <w:t xml:space="preserve"> that encourages treatment </w:t>
      </w:r>
      <w:r w:rsidR="00AD2788" w:rsidRPr="00AD2788">
        <w:rPr>
          <w:sz w:val="22"/>
          <w:szCs w:val="22"/>
        </w:rPr>
        <w:t>over prevention</w:t>
      </w:r>
      <w:r w:rsidR="008E42AA" w:rsidRPr="00AD2788">
        <w:rPr>
          <w:sz w:val="22"/>
          <w:szCs w:val="22"/>
        </w:rPr>
        <w:t>”</w:t>
      </w:r>
      <w:r w:rsidR="00AD2788" w:rsidRPr="00AD2788">
        <w:rPr>
          <w:sz w:val="22"/>
          <w:szCs w:val="22"/>
        </w:rPr>
        <w:t xml:space="preserve"> (</w:t>
      </w:r>
      <w:proofErr w:type="spellStart"/>
      <w:r w:rsidR="00AD2788" w:rsidRPr="00AD2788">
        <w:rPr>
          <w:sz w:val="22"/>
          <w:szCs w:val="22"/>
        </w:rPr>
        <w:t>Maeshiro</w:t>
      </w:r>
      <w:proofErr w:type="spellEnd"/>
      <w:r w:rsidR="00AD2788" w:rsidRPr="00AD2788">
        <w:rPr>
          <w:sz w:val="22"/>
          <w:szCs w:val="22"/>
        </w:rPr>
        <w:t xml:space="preserve"> 2011).</w:t>
      </w:r>
    </w:p>
    <w:p w:rsidR="00562825" w:rsidRPr="00D81A46" w:rsidRDefault="00562825" w:rsidP="00562825">
      <w:pPr>
        <w:spacing w:line="480" w:lineRule="auto"/>
        <w:ind w:firstLine="360"/>
        <w:rPr>
          <w:sz w:val="22"/>
          <w:szCs w:val="22"/>
        </w:rPr>
      </w:pPr>
      <w:r>
        <w:rPr>
          <w:sz w:val="22"/>
          <w:szCs w:val="22"/>
        </w:rPr>
        <w:t xml:space="preserve">In September 2011, the U.S. Department of Health and Human Services launched </w:t>
      </w:r>
      <w:r w:rsidRPr="00D81A46">
        <w:rPr>
          <w:i/>
          <w:sz w:val="22"/>
          <w:szCs w:val="22"/>
        </w:rPr>
        <w:t>Million Hearts</w:t>
      </w:r>
      <w:r w:rsidRPr="00306173">
        <w:rPr>
          <w:sz w:val="22"/>
          <w:szCs w:val="22"/>
        </w:rPr>
        <w:t>,</w:t>
      </w:r>
      <w:r>
        <w:rPr>
          <w:i/>
          <w:sz w:val="22"/>
          <w:szCs w:val="22"/>
        </w:rPr>
        <w:t xml:space="preserve"> </w:t>
      </w:r>
      <w:r>
        <w:rPr>
          <w:sz w:val="22"/>
          <w:szCs w:val="22"/>
        </w:rPr>
        <w:t>a five-year initiative to prevent 1 mill</w:t>
      </w:r>
      <w:r w:rsidR="00C26C9C">
        <w:rPr>
          <w:sz w:val="22"/>
          <w:szCs w:val="22"/>
        </w:rPr>
        <w:t xml:space="preserve">ion heart attacks and strokes. </w:t>
      </w:r>
      <w:r>
        <w:rPr>
          <w:sz w:val="22"/>
          <w:szCs w:val="22"/>
        </w:rPr>
        <w:t>CDC serves as a co-lead with the Centers for Medicare and Medicaid Services in this effort that has been undertaken in concert with partners from every corner of the health sector – other federal agencies</w:t>
      </w:r>
      <w:r w:rsidR="00F82386">
        <w:rPr>
          <w:sz w:val="22"/>
          <w:szCs w:val="22"/>
        </w:rPr>
        <w:t>;</w:t>
      </w:r>
      <w:r>
        <w:rPr>
          <w:sz w:val="22"/>
          <w:szCs w:val="22"/>
        </w:rPr>
        <w:t xml:space="preserve"> doctors, nurses, pharmacists, and other health care professionals; </w:t>
      </w:r>
      <w:r w:rsidR="00F82386">
        <w:rPr>
          <w:sz w:val="22"/>
          <w:szCs w:val="22"/>
        </w:rPr>
        <w:t xml:space="preserve">and </w:t>
      </w:r>
      <w:r>
        <w:rPr>
          <w:sz w:val="22"/>
          <w:szCs w:val="22"/>
        </w:rPr>
        <w:t xml:space="preserve">private insurers, businesses, health advocacy groups and community organizations. </w:t>
      </w:r>
      <w:r w:rsidRPr="00D81A46">
        <w:rPr>
          <w:i/>
          <w:sz w:val="22"/>
          <w:szCs w:val="22"/>
        </w:rPr>
        <w:t>Million Hearts</w:t>
      </w:r>
      <w:r>
        <w:rPr>
          <w:sz w:val="22"/>
          <w:szCs w:val="22"/>
        </w:rPr>
        <w:t xml:space="preserve"> will create a national focus on combatting heart disease and stroke through multiple strategies.</w:t>
      </w:r>
      <w:r w:rsidR="00306173">
        <w:rPr>
          <w:sz w:val="22"/>
          <w:szCs w:val="22"/>
        </w:rPr>
        <w:t xml:space="preserve"> More information about this new initiative is available at www.millionhearts.hhs.gov.</w:t>
      </w:r>
    </w:p>
    <w:p w:rsidR="00562825" w:rsidRPr="00AD2788" w:rsidRDefault="00562825" w:rsidP="007D2F37">
      <w:pPr>
        <w:spacing w:line="480" w:lineRule="auto"/>
        <w:ind w:firstLine="360"/>
        <w:rPr>
          <w:sz w:val="22"/>
          <w:szCs w:val="22"/>
        </w:rPr>
      </w:pPr>
    </w:p>
    <w:p w:rsidR="007A377E" w:rsidRPr="00FD59EE" w:rsidRDefault="007A377E" w:rsidP="007D2F37">
      <w:pPr>
        <w:keepNext/>
        <w:spacing w:line="480" w:lineRule="auto"/>
        <w:ind w:left="720" w:hanging="720"/>
        <w:rPr>
          <w:b/>
          <w:sz w:val="24"/>
          <w:szCs w:val="24"/>
        </w:rPr>
      </w:pPr>
      <w:r w:rsidRPr="00FD59EE">
        <w:rPr>
          <w:b/>
          <w:sz w:val="24"/>
          <w:szCs w:val="24"/>
        </w:rPr>
        <w:lastRenderedPageBreak/>
        <w:t>ROLE</w:t>
      </w:r>
      <w:r w:rsidR="00687919">
        <w:rPr>
          <w:b/>
          <w:sz w:val="24"/>
          <w:szCs w:val="24"/>
        </w:rPr>
        <w:t>S</w:t>
      </w:r>
      <w:r w:rsidRPr="00FD59EE">
        <w:rPr>
          <w:b/>
          <w:sz w:val="24"/>
          <w:szCs w:val="24"/>
        </w:rPr>
        <w:t xml:space="preserve"> OF OTHER FEDERAL AGENCIES</w:t>
      </w:r>
    </w:p>
    <w:p w:rsidR="00087AD0" w:rsidRDefault="0003757F" w:rsidP="007D2F37">
      <w:pPr>
        <w:spacing w:line="480" w:lineRule="auto"/>
        <w:ind w:firstLine="360"/>
        <w:rPr>
          <w:sz w:val="22"/>
          <w:szCs w:val="22"/>
        </w:rPr>
      </w:pPr>
      <w:r w:rsidRPr="000D6F44">
        <w:rPr>
          <w:sz w:val="22"/>
          <w:szCs w:val="22"/>
        </w:rPr>
        <w:t>The Administration on Aging offer</w:t>
      </w:r>
      <w:r w:rsidR="007A377E" w:rsidRPr="000D6F44">
        <w:rPr>
          <w:sz w:val="22"/>
          <w:szCs w:val="22"/>
        </w:rPr>
        <w:t>s</w:t>
      </w:r>
      <w:r w:rsidRPr="000D6F44">
        <w:rPr>
          <w:sz w:val="22"/>
          <w:szCs w:val="22"/>
        </w:rPr>
        <w:t xml:space="preserve"> </w:t>
      </w:r>
      <w:r w:rsidR="007A377E" w:rsidRPr="000D6F44">
        <w:rPr>
          <w:sz w:val="22"/>
          <w:szCs w:val="22"/>
        </w:rPr>
        <w:t>health</w:t>
      </w:r>
      <w:r w:rsidR="00F90CA5">
        <w:rPr>
          <w:sz w:val="22"/>
          <w:szCs w:val="22"/>
        </w:rPr>
        <w:t xml:space="preserve"> promotion</w:t>
      </w:r>
      <w:r w:rsidR="007A377E" w:rsidRPr="000D6F44">
        <w:rPr>
          <w:sz w:val="22"/>
          <w:szCs w:val="22"/>
        </w:rPr>
        <w:t xml:space="preserve">, </w:t>
      </w:r>
      <w:r w:rsidR="00F90CA5">
        <w:rPr>
          <w:sz w:val="22"/>
          <w:szCs w:val="22"/>
        </w:rPr>
        <w:t xml:space="preserve">disease </w:t>
      </w:r>
      <w:r w:rsidR="007A377E" w:rsidRPr="000D6F44">
        <w:rPr>
          <w:sz w:val="22"/>
          <w:szCs w:val="22"/>
        </w:rPr>
        <w:t xml:space="preserve">prevention and wellness programs </w:t>
      </w:r>
      <w:r w:rsidRPr="000D6F44">
        <w:rPr>
          <w:sz w:val="22"/>
          <w:szCs w:val="22"/>
        </w:rPr>
        <w:t>to give seniors tools to maintain their health, reduce their risk of developing chronic diseases and manage their health to live as independently as possible. The core programs are the Chronic Disease Self-Management Program and the Evidence-Based Disease and Disability Prevention Program</w:t>
      </w:r>
      <w:r w:rsidR="007538BC">
        <w:rPr>
          <w:sz w:val="22"/>
          <w:szCs w:val="22"/>
        </w:rPr>
        <w:t xml:space="preserve"> (AoA 2011</w:t>
      </w:r>
      <w:r w:rsidR="00652BFA">
        <w:rPr>
          <w:sz w:val="22"/>
          <w:szCs w:val="22"/>
        </w:rPr>
        <w:t>b</w:t>
      </w:r>
      <w:r w:rsidR="007538BC">
        <w:rPr>
          <w:sz w:val="22"/>
          <w:szCs w:val="22"/>
        </w:rPr>
        <w:t>)</w:t>
      </w:r>
      <w:r w:rsidRPr="000D6F44">
        <w:rPr>
          <w:sz w:val="22"/>
          <w:szCs w:val="22"/>
        </w:rPr>
        <w:t xml:space="preserve">. These programs provide discretionary grants to states to support collaborations between aging and public health networks to implement evidence-based prevention programs. </w:t>
      </w:r>
    </w:p>
    <w:p w:rsidR="00B314A2" w:rsidRDefault="00484E36" w:rsidP="00B314A2">
      <w:pPr>
        <w:spacing w:line="480" w:lineRule="auto"/>
        <w:ind w:firstLine="360"/>
        <w:rPr>
          <w:sz w:val="22"/>
          <w:szCs w:val="22"/>
        </w:rPr>
      </w:pPr>
      <w:r w:rsidRPr="000D6F44">
        <w:rPr>
          <w:sz w:val="22"/>
          <w:szCs w:val="22"/>
        </w:rPr>
        <w:t xml:space="preserve">Through the Administration on Aging’s network of service providers, State Health Insurance Assistance Programs (SHIP) and Information and Referral (I&amp;R) services </w:t>
      </w:r>
      <w:r>
        <w:rPr>
          <w:sz w:val="22"/>
          <w:szCs w:val="22"/>
        </w:rPr>
        <w:t xml:space="preserve">work </w:t>
      </w:r>
      <w:r w:rsidRPr="000D6F44">
        <w:rPr>
          <w:sz w:val="22"/>
          <w:szCs w:val="22"/>
        </w:rPr>
        <w:t>to link beneficiaries with Medicare’s preventive services</w:t>
      </w:r>
      <w:r>
        <w:rPr>
          <w:sz w:val="22"/>
          <w:szCs w:val="22"/>
        </w:rPr>
        <w:t xml:space="preserve"> (NASUAD 2011)</w:t>
      </w:r>
      <w:r w:rsidRPr="000D6F44">
        <w:rPr>
          <w:sz w:val="22"/>
          <w:szCs w:val="22"/>
        </w:rPr>
        <w:t>.</w:t>
      </w:r>
      <w:r w:rsidR="00B314A2" w:rsidRPr="00B314A2">
        <w:rPr>
          <w:sz w:val="22"/>
          <w:szCs w:val="22"/>
        </w:rPr>
        <w:t xml:space="preserve"> </w:t>
      </w:r>
    </w:p>
    <w:p w:rsidR="00B314A2" w:rsidRDefault="007A377E" w:rsidP="00B314A2">
      <w:pPr>
        <w:spacing w:line="480" w:lineRule="auto"/>
        <w:ind w:firstLine="360"/>
        <w:rPr>
          <w:sz w:val="22"/>
          <w:szCs w:val="22"/>
        </w:rPr>
      </w:pPr>
      <w:r w:rsidRPr="000D6F44">
        <w:rPr>
          <w:sz w:val="22"/>
          <w:szCs w:val="22"/>
        </w:rPr>
        <w:t xml:space="preserve">The Health </w:t>
      </w:r>
      <w:r w:rsidR="003D47D9">
        <w:rPr>
          <w:sz w:val="22"/>
          <w:szCs w:val="22"/>
        </w:rPr>
        <w:t xml:space="preserve">Resources </w:t>
      </w:r>
      <w:r w:rsidRPr="000D6F44">
        <w:rPr>
          <w:sz w:val="22"/>
          <w:szCs w:val="22"/>
        </w:rPr>
        <w:t xml:space="preserve">and Services Administration’s </w:t>
      </w:r>
      <w:r w:rsidR="009E6D53">
        <w:rPr>
          <w:sz w:val="22"/>
          <w:szCs w:val="22"/>
        </w:rPr>
        <w:t xml:space="preserve">(HRSA) </w:t>
      </w:r>
      <w:r w:rsidR="0034589C" w:rsidRPr="000D6F44">
        <w:rPr>
          <w:sz w:val="22"/>
          <w:szCs w:val="22"/>
        </w:rPr>
        <w:t xml:space="preserve">Bureau of Primary Health Care, the federal agency that oversees delivery of care by community health centers, </w:t>
      </w:r>
      <w:r w:rsidR="00B760A7">
        <w:rPr>
          <w:sz w:val="22"/>
          <w:szCs w:val="22"/>
        </w:rPr>
        <w:t>ensures</w:t>
      </w:r>
      <w:r w:rsidR="0034589C" w:rsidRPr="000D6F44">
        <w:rPr>
          <w:sz w:val="22"/>
          <w:szCs w:val="22"/>
        </w:rPr>
        <w:t xml:space="preserve"> these centers not only provide clinical preventive services, but also actively refer patients to follow-up care as needed. There are 8,000 community health centers nationwide serving 20 million patients. </w:t>
      </w:r>
    </w:p>
    <w:p w:rsidR="00B314A2" w:rsidRDefault="0034589C" w:rsidP="00B314A2">
      <w:pPr>
        <w:spacing w:line="480" w:lineRule="auto"/>
        <w:ind w:firstLine="360"/>
        <w:rPr>
          <w:sz w:val="22"/>
          <w:szCs w:val="22"/>
        </w:rPr>
      </w:pPr>
      <w:r w:rsidRPr="000D6F44">
        <w:rPr>
          <w:sz w:val="22"/>
          <w:szCs w:val="22"/>
        </w:rPr>
        <w:t xml:space="preserve">Ahmed </w:t>
      </w:r>
      <w:proofErr w:type="spellStart"/>
      <w:r w:rsidRPr="000D6F44">
        <w:rPr>
          <w:sz w:val="22"/>
          <w:szCs w:val="22"/>
        </w:rPr>
        <w:t>Calvo</w:t>
      </w:r>
      <w:proofErr w:type="spellEnd"/>
      <w:r w:rsidRPr="000D6F44">
        <w:rPr>
          <w:sz w:val="22"/>
          <w:szCs w:val="22"/>
        </w:rPr>
        <w:t xml:space="preserve">, </w:t>
      </w:r>
      <w:r w:rsidR="003D47D9" w:rsidRPr="003D47D9">
        <w:rPr>
          <w:color w:val="000000"/>
          <w:sz w:val="22"/>
          <w:szCs w:val="22"/>
        </w:rPr>
        <w:t>MD, MPH</w:t>
      </w:r>
      <w:r w:rsidRPr="000D6F44">
        <w:rPr>
          <w:sz w:val="22"/>
          <w:szCs w:val="22"/>
        </w:rPr>
        <w:t xml:space="preserve">, </w:t>
      </w:r>
      <w:r w:rsidR="001034B6">
        <w:rPr>
          <w:sz w:val="22"/>
          <w:szCs w:val="22"/>
        </w:rPr>
        <w:t xml:space="preserve">Chief Medical Officer in </w:t>
      </w:r>
      <w:r w:rsidRPr="000D6F44">
        <w:rPr>
          <w:sz w:val="22"/>
          <w:szCs w:val="22"/>
        </w:rPr>
        <w:t xml:space="preserve">the bureau’s </w:t>
      </w:r>
      <w:r w:rsidR="001034B6">
        <w:rPr>
          <w:sz w:val="22"/>
          <w:szCs w:val="22"/>
        </w:rPr>
        <w:t xml:space="preserve">Office of Health Information Technology and Quality, </w:t>
      </w:r>
      <w:r w:rsidRPr="000D6F44">
        <w:rPr>
          <w:sz w:val="22"/>
          <w:szCs w:val="22"/>
        </w:rPr>
        <w:t xml:space="preserve">said that follow-up care coordination </w:t>
      </w:r>
      <w:r w:rsidR="00687919">
        <w:rPr>
          <w:sz w:val="22"/>
          <w:szCs w:val="22"/>
        </w:rPr>
        <w:t xml:space="preserve">after clinical preventive services are received </w:t>
      </w:r>
      <w:r w:rsidRPr="000D6F44">
        <w:rPr>
          <w:sz w:val="22"/>
          <w:szCs w:val="22"/>
        </w:rPr>
        <w:t>is a crucial activity of community health centers. “Their staff will actively help patients schedule appointments,</w:t>
      </w:r>
      <w:r w:rsidR="00E427D7">
        <w:rPr>
          <w:sz w:val="22"/>
          <w:szCs w:val="22"/>
        </w:rPr>
        <w:t xml:space="preserve"> not just give them a referral” for follow-up.</w:t>
      </w:r>
      <w:r w:rsidR="00B314A2" w:rsidRPr="00B314A2">
        <w:rPr>
          <w:sz w:val="22"/>
          <w:szCs w:val="22"/>
        </w:rPr>
        <w:t xml:space="preserve"> </w:t>
      </w:r>
    </w:p>
    <w:p w:rsidR="00B314A2" w:rsidRDefault="00A05B2E" w:rsidP="00B314A2">
      <w:pPr>
        <w:spacing w:line="480" w:lineRule="auto"/>
        <w:ind w:firstLine="360"/>
        <w:rPr>
          <w:sz w:val="22"/>
          <w:szCs w:val="22"/>
        </w:rPr>
      </w:pPr>
      <w:r w:rsidRPr="000D6F44">
        <w:rPr>
          <w:sz w:val="22"/>
          <w:szCs w:val="22"/>
        </w:rPr>
        <w:t xml:space="preserve">HRSA’s </w:t>
      </w:r>
      <w:r w:rsidR="00663029" w:rsidRPr="000D6F44">
        <w:rPr>
          <w:sz w:val="22"/>
          <w:szCs w:val="22"/>
        </w:rPr>
        <w:t xml:space="preserve">Patient Navigator Outreach and Chronic Disease </w:t>
      </w:r>
      <w:r w:rsidR="00663029">
        <w:rPr>
          <w:sz w:val="22"/>
          <w:szCs w:val="22"/>
        </w:rPr>
        <w:t>Prevention Demonstration</w:t>
      </w:r>
      <w:r w:rsidR="00663029" w:rsidRPr="000D6F44">
        <w:rPr>
          <w:sz w:val="22"/>
          <w:szCs w:val="22"/>
        </w:rPr>
        <w:t xml:space="preserve"> </w:t>
      </w:r>
      <w:r w:rsidR="00663029">
        <w:rPr>
          <w:sz w:val="22"/>
          <w:szCs w:val="22"/>
        </w:rPr>
        <w:t>P</w:t>
      </w:r>
      <w:r w:rsidRPr="000D6F44">
        <w:rPr>
          <w:sz w:val="22"/>
          <w:szCs w:val="22"/>
        </w:rPr>
        <w:t>rogram provide</w:t>
      </w:r>
      <w:r w:rsidR="00BD7BF2" w:rsidRPr="000D6F44">
        <w:rPr>
          <w:sz w:val="22"/>
          <w:szCs w:val="22"/>
        </w:rPr>
        <w:t>d</w:t>
      </w:r>
      <w:r w:rsidRPr="000D6F44">
        <w:rPr>
          <w:sz w:val="22"/>
          <w:szCs w:val="22"/>
        </w:rPr>
        <w:t xml:space="preserve"> grants to health centers to help patients overcome barriers in the health</w:t>
      </w:r>
      <w:r w:rsidR="00267FF4">
        <w:rPr>
          <w:sz w:val="22"/>
          <w:szCs w:val="22"/>
        </w:rPr>
        <w:t xml:space="preserve"> </w:t>
      </w:r>
      <w:r w:rsidRPr="000D6F44">
        <w:rPr>
          <w:sz w:val="22"/>
          <w:szCs w:val="22"/>
        </w:rPr>
        <w:t>care system to prompt screening, referral, diagnosis and treatment services.</w:t>
      </w:r>
      <w:r w:rsidR="00BD7BF2" w:rsidRPr="000D6F44">
        <w:rPr>
          <w:sz w:val="22"/>
          <w:szCs w:val="22"/>
        </w:rPr>
        <w:t xml:space="preserve"> Navigators help patients learn about their disease, get screening and treatment as needed, and make use of services</w:t>
      </w:r>
      <w:r w:rsidR="00D250A0">
        <w:rPr>
          <w:sz w:val="22"/>
          <w:szCs w:val="22"/>
        </w:rPr>
        <w:t xml:space="preserve">, including clinical </w:t>
      </w:r>
      <w:r w:rsidR="00D250A0" w:rsidRPr="00AD2788">
        <w:rPr>
          <w:sz w:val="22"/>
          <w:szCs w:val="22"/>
        </w:rPr>
        <w:t>preventive services,</w:t>
      </w:r>
      <w:r w:rsidR="00BD7BF2" w:rsidRPr="00AD2788">
        <w:rPr>
          <w:sz w:val="22"/>
          <w:szCs w:val="22"/>
        </w:rPr>
        <w:t xml:space="preserve"> that will help them stay </w:t>
      </w:r>
      <w:r w:rsidR="00D250A0" w:rsidRPr="00AD2788">
        <w:rPr>
          <w:sz w:val="22"/>
          <w:szCs w:val="22"/>
        </w:rPr>
        <w:t xml:space="preserve">as </w:t>
      </w:r>
      <w:r w:rsidR="00BD7BF2" w:rsidRPr="00AD2788">
        <w:rPr>
          <w:sz w:val="22"/>
          <w:szCs w:val="22"/>
        </w:rPr>
        <w:t xml:space="preserve">healthy </w:t>
      </w:r>
      <w:r w:rsidR="00D250A0" w:rsidRPr="00AD2788">
        <w:rPr>
          <w:sz w:val="22"/>
          <w:szCs w:val="22"/>
        </w:rPr>
        <w:t xml:space="preserve">as possible </w:t>
      </w:r>
      <w:r w:rsidR="00BD7BF2" w:rsidRPr="00AD2788">
        <w:rPr>
          <w:sz w:val="22"/>
          <w:szCs w:val="22"/>
        </w:rPr>
        <w:t>and live longer</w:t>
      </w:r>
      <w:r w:rsidR="00687919" w:rsidRPr="00AD2788">
        <w:rPr>
          <w:sz w:val="22"/>
          <w:szCs w:val="22"/>
        </w:rPr>
        <w:t xml:space="preserve">, </w:t>
      </w:r>
      <w:r w:rsidR="00D250A0" w:rsidRPr="00AD2788">
        <w:rPr>
          <w:sz w:val="22"/>
          <w:szCs w:val="22"/>
        </w:rPr>
        <w:t>better quality lives</w:t>
      </w:r>
      <w:r w:rsidR="00D250A0">
        <w:rPr>
          <w:sz w:val="22"/>
          <w:szCs w:val="22"/>
        </w:rPr>
        <w:t xml:space="preserve"> </w:t>
      </w:r>
      <w:r w:rsidR="00464063">
        <w:rPr>
          <w:sz w:val="22"/>
          <w:szCs w:val="22"/>
        </w:rPr>
        <w:t>(HRSA 2011)</w:t>
      </w:r>
      <w:r w:rsidR="00BD7BF2" w:rsidRPr="000D6F44">
        <w:rPr>
          <w:sz w:val="22"/>
          <w:szCs w:val="22"/>
        </w:rPr>
        <w:t>.</w:t>
      </w:r>
      <w:r w:rsidR="00B314A2" w:rsidRPr="00B314A2">
        <w:rPr>
          <w:sz w:val="22"/>
          <w:szCs w:val="22"/>
        </w:rPr>
        <w:t xml:space="preserve"> </w:t>
      </w:r>
    </w:p>
    <w:p w:rsidR="00B314A2" w:rsidRDefault="00A05B2E" w:rsidP="00B314A2">
      <w:pPr>
        <w:spacing w:line="480" w:lineRule="auto"/>
        <w:ind w:firstLine="360"/>
        <w:rPr>
          <w:sz w:val="22"/>
          <w:szCs w:val="22"/>
        </w:rPr>
      </w:pPr>
      <w:r w:rsidRPr="000D6F44">
        <w:rPr>
          <w:sz w:val="22"/>
          <w:szCs w:val="22"/>
        </w:rPr>
        <w:t xml:space="preserve">While </w:t>
      </w:r>
      <w:r w:rsidR="0034589C" w:rsidRPr="000D6F44">
        <w:rPr>
          <w:sz w:val="22"/>
          <w:szCs w:val="22"/>
        </w:rPr>
        <w:t xml:space="preserve">HRSA’s </w:t>
      </w:r>
      <w:r w:rsidR="00AE3CFA" w:rsidRPr="000D6F44">
        <w:rPr>
          <w:sz w:val="22"/>
          <w:szCs w:val="22"/>
        </w:rPr>
        <w:t xml:space="preserve">Patient Navigator Outreach and Chronic Disease </w:t>
      </w:r>
      <w:r w:rsidR="00663029">
        <w:rPr>
          <w:sz w:val="22"/>
          <w:szCs w:val="22"/>
        </w:rPr>
        <w:t xml:space="preserve">Prevention Demonstration </w:t>
      </w:r>
      <w:r w:rsidR="00AE3CFA" w:rsidRPr="000D6F44">
        <w:rPr>
          <w:sz w:val="22"/>
          <w:szCs w:val="22"/>
        </w:rPr>
        <w:t xml:space="preserve">Program </w:t>
      </w:r>
      <w:r w:rsidR="000A1C40">
        <w:rPr>
          <w:sz w:val="22"/>
          <w:szCs w:val="22"/>
        </w:rPr>
        <w:t xml:space="preserve">is not expected to be funded in </w:t>
      </w:r>
      <w:r w:rsidR="00AE3CFA" w:rsidRPr="000D6F44">
        <w:rPr>
          <w:sz w:val="22"/>
          <w:szCs w:val="22"/>
        </w:rPr>
        <w:t>FY 2012</w:t>
      </w:r>
      <w:r w:rsidRPr="000D6F44">
        <w:rPr>
          <w:sz w:val="22"/>
          <w:szCs w:val="22"/>
        </w:rPr>
        <w:t xml:space="preserve"> – </w:t>
      </w:r>
      <w:r w:rsidR="000A1C40">
        <w:rPr>
          <w:sz w:val="22"/>
          <w:szCs w:val="22"/>
        </w:rPr>
        <w:t xml:space="preserve">it was </w:t>
      </w:r>
      <w:r w:rsidRPr="000D6F44">
        <w:rPr>
          <w:sz w:val="22"/>
          <w:szCs w:val="22"/>
        </w:rPr>
        <w:t>funded at $5 million the prior year</w:t>
      </w:r>
      <w:r w:rsidR="008F75FF" w:rsidRPr="000D6F44">
        <w:rPr>
          <w:sz w:val="22"/>
          <w:szCs w:val="22"/>
        </w:rPr>
        <w:t xml:space="preserve"> – </w:t>
      </w:r>
      <w:r w:rsidRPr="000D6F44">
        <w:rPr>
          <w:sz w:val="22"/>
          <w:szCs w:val="22"/>
        </w:rPr>
        <w:t xml:space="preserve">the Senate </w:t>
      </w:r>
      <w:r w:rsidRPr="000D6F44">
        <w:rPr>
          <w:sz w:val="22"/>
          <w:szCs w:val="22"/>
        </w:rPr>
        <w:lastRenderedPageBreak/>
        <w:t xml:space="preserve">Appropriations </w:t>
      </w:r>
      <w:r w:rsidR="008F75FF">
        <w:rPr>
          <w:sz w:val="22"/>
          <w:szCs w:val="22"/>
        </w:rPr>
        <w:t>C</w:t>
      </w:r>
      <w:r w:rsidRPr="000D6F44">
        <w:rPr>
          <w:sz w:val="22"/>
          <w:szCs w:val="22"/>
        </w:rPr>
        <w:t xml:space="preserve">ommittee </w:t>
      </w:r>
      <w:r w:rsidR="000A1C40">
        <w:rPr>
          <w:sz w:val="22"/>
          <w:szCs w:val="22"/>
        </w:rPr>
        <w:t xml:space="preserve">has </w:t>
      </w:r>
      <w:r w:rsidRPr="000D6F44">
        <w:rPr>
          <w:sz w:val="22"/>
          <w:szCs w:val="22"/>
        </w:rPr>
        <w:t xml:space="preserve">suggested that </w:t>
      </w:r>
      <w:r w:rsidR="009E6D53">
        <w:rPr>
          <w:sz w:val="22"/>
          <w:szCs w:val="22"/>
        </w:rPr>
        <w:t xml:space="preserve">CMS </w:t>
      </w:r>
      <w:r w:rsidRPr="000D6F44">
        <w:rPr>
          <w:sz w:val="22"/>
          <w:szCs w:val="22"/>
        </w:rPr>
        <w:t xml:space="preserve">demonstration projects on accountable care organizations and medical home models </w:t>
      </w:r>
      <w:r w:rsidR="008F75FF">
        <w:rPr>
          <w:sz w:val="22"/>
          <w:szCs w:val="22"/>
        </w:rPr>
        <w:t>c</w:t>
      </w:r>
      <w:r w:rsidRPr="000D6F44">
        <w:rPr>
          <w:sz w:val="22"/>
          <w:szCs w:val="22"/>
        </w:rPr>
        <w:t>ould fill the need for patient navigator models.</w:t>
      </w:r>
      <w:r w:rsidR="00B314A2" w:rsidRPr="00B314A2">
        <w:rPr>
          <w:sz w:val="22"/>
          <w:szCs w:val="22"/>
        </w:rPr>
        <w:t xml:space="preserve"> </w:t>
      </w:r>
    </w:p>
    <w:p w:rsidR="00B314A2" w:rsidRDefault="00324BD8" w:rsidP="00B314A2">
      <w:pPr>
        <w:spacing w:line="480" w:lineRule="auto"/>
        <w:ind w:firstLine="360"/>
        <w:rPr>
          <w:sz w:val="22"/>
          <w:szCs w:val="22"/>
        </w:rPr>
      </w:pPr>
      <w:r>
        <w:rPr>
          <w:spacing w:val="-2"/>
          <w:sz w:val="22"/>
          <w:szCs w:val="22"/>
        </w:rPr>
        <w:t>T</w:t>
      </w:r>
      <w:r w:rsidR="001C2BFB" w:rsidRPr="00A8362F">
        <w:rPr>
          <w:spacing w:val="-2"/>
          <w:sz w:val="22"/>
          <w:szCs w:val="22"/>
        </w:rPr>
        <w:t xml:space="preserve">he federal Agency for </w:t>
      </w:r>
      <w:r w:rsidR="0062189C" w:rsidRPr="00A8362F">
        <w:rPr>
          <w:spacing w:val="-2"/>
          <w:sz w:val="22"/>
          <w:szCs w:val="22"/>
        </w:rPr>
        <w:t>Healthcare and Research Quality</w:t>
      </w:r>
      <w:r w:rsidR="008F75FF" w:rsidRPr="00A8362F">
        <w:rPr>
          <w:spacing w:val="-2"/>
          <w:sz w:val="22"/>
          <w:szCs w:val="22"/>
        </w:rPr>
        <w:t xml:space="preserve"> </w:t>
      </w:r>
      <w:r w:rsidR="000B6107" w:rsidRPr="00A8362F">
        <w:rPr>
          <w:spacing w:val="-2"/>
          <w:sz w:val="22"/>
          <w:szCs w:val="22"/>
        </w:rPr>
        <w:t>(AHRQ)</w:t>
      </w:r>
      <w:r w:rsidR="0062189C" w:rsidRPr="00A8362F">
        <w:rPr>
          <w:spacing w:val="-2"/>
          <w:sz w:val="22"/>
          <w:szCs w:val="22"/>
        </w:rPr>
        <w:t xml:space="preserve"> </w:t>
      </w:r>
      <w:r w:rsidR="0064527C" w:rsidRPr="00A8362F">
        <w:rPr>
          <w:spacing w:val="-2"/>
          <w:sz w:val="22"/>
          <w:szCs w:val="22"/>
        </w:rPr>
        <w:t xml:space="preserve">works to develop the evidence base for clinical preventive services. </w:t>
      </w:r>
      <w:r w:rsidR="00687919">
        <w:rPr>
          <w:spacing w:val="-2"/>
          <w:sz w:val="22"/>
          <w:szCs w:val="22"/>
        </w:rPr>
        <w:t xml:space="preserve">AHRQ funds </w:t>
      </w:r>
      <w:r w:rsidR="0064527C" w:rsidRPr="00A8362F">
        <w:rPr>
          <w:spacing w:val="-2"/>
          <w:sz w:val="22"/>
          <w:szCs w:val="22"/>
        </w:rPr>
        <w:t xml:space="preserve">research </w:t>
      </w:r>
      <w:r w:rsidR="00687919">
        <w:rPr>
          <w:spacing w:val="-2"/>
          <w:sz w:val="22"/>
          <w:szCs w:val="22"/>
        </w:rPr>
        <w:t xml:space="preserve">to </w:t>
      </w:r>
      <w:r w:rsidR="0064527C" w:rsidRPr="00A8362F">
        <w:rPr>
          <w:spacing w:val="-2"/>
          <w:sz w:val="22"/>
          <w:szCs w:val="22"/>
        </w:rPr>
        <w:t xml:space="preserve">address evidence gaps in </w:t>
      </w:r>
      <w:r w:rsidR="00897071">
        <w:rPr>
          <w:spacing w:val="-2"/>
          <w:sz w:val="22"/>
          <w:szCs w:val="22"/>
        </w:rPr>
        <w:t xml:space="preserve">the </w:t>
      </w:r>
      <w:r w:rsidR="0064527C" w:rsidRPr="00A8362F">
        <w:rPr>
          <w:spacing w:val="-2"/>
          <w:sz w:val="22"/>
          <w:szCs w:val="22"/>
        </w:rPr>
        <w:t>implementation of preventive services in primary care</w:t>
      </w:r>
      <w:r w:rsidR="00897071">
        <w:rPr>
          <w:spacing w:val="-2"/>
          <w:sz w:val="22"/>
          <w:szCs w:val="22"/>
        </w:rPr>
        <w:t xml:space="preserve"> settings</w:t>
      </w:r>
      <w:r w:rsidR="0064527C" w:rsidRPr="00A8362F">
        <w:rPr>
          <w:spacing w:val="-2"/>
          <w:sz w:val="22"/>
          <w:szCs w:val="22"/>
        </w:rPr>
        <w:t xml:space="preserve">, as well as </w:t>
      </w:r>
      <w:r w:rsidR="00405E8B" w:rsidRPr="00A8362F">
        <w:rPr>
          <w:spacing w:val="-2"/>
          <w:sz w:val="22"/>
          <w:szCs w:val="22"/>
        </w:rPr>
        <w:t xml:space="preserve">to </w:t>
      </w:r>
      <w:r w:rsidR="0064527C" w:rsidRPr="00A8362F">
        <w:rPr>
          <w:spacing w:val="-2"/>
          <w:sz w:val="22"/>
          <w:szCs w:val="22"/>
        </w:rPr>
        <w:t>improve access, delivery and outcomes of clinical preventive services in priority populations.</w:t>
      </w:r>
      <w:r w:rsidR="00443C56" w:rsidRPr="00A8362F">
        <w:rPr>
          <w:spacing w:val="-2"/>
          <w:sz w:val="22"/>
          <w:szCs w:val="22"/>
        </w:rPr>
        <w:t xml:space="preserve"> AHRQ </w:t>
      </w:r>
      <w:r w:rsidR="000E61AE" w:rsidRPr="00A8362F">
        <w:rPr>
          <w:spacing w:val="-2"/>
          <w:sz w:val="22"/>
          <w:szCs w:val="22"/>
        </w:rPr>
        <w:t xml:space="preserve">also </w:t>
      </w:r>
      <w:r w:rsidR="00443C56" w:rsidRPr="00A8362F">
        <w:rPr>
          <w:spacing w:val="-2"/>
          <w:sz w:val="22"/>
          <w:szCs w:val="22"/>
        </w:rPr>
        <w:t>produce</w:t>
      </w:r>
      <w:r w:rsidR="000B6107" w:rsidRPr="00A8362F">
        <w:rPr>
          <w:spacing w:val="-2"/>
          <w:sz w:val="22"/>
          <w:szCs w:val="22"/>
        </w:rPr>
        <w:t xml:space="preserve">s the </w:t>
      </w:r>
      <w:r w:rsidR="008F75FF" w:rsidRPr="00A8362F">
        <w:rPr>
          <w:spacing w:val="-2"/>
          <w:sz w:val="22"/>
          <w:szCs w:val="22"/>
        </w:rPr>
        <w:t>“</w:t>
      </w:r>
      <w:r w:rsidR="000B6107" w:rsidRPr="00A8362F">
        <w:rPr>
          <w:spacing w:val="-2"/>
          <w:sz w:val="22"/>
          <w:szCs w:val="22"/>
        </w:rPr>
        <w:t>Guide to Clinical Preventive Services</w:t>
      </w:r>
      <w:r>
        <w:rPr>
          <w:spacing w:val="-2"/>
          <w:sz w:val="22"/>
          <w:szCs w:val="22"/>
        </w:rPr>
        <w:t>”</w:t>
      </w:r>
      <w:r w:rsidR="008F75FF" w:rsidRPr="00A8362F">
        <w:rPr>
          <w:spacing w:val="-2"/>
          <w:sz w:val="22"/>
          <w:szCs w:val="22"/>
        </w:rPr>
        <w:t xml:space="preserve"> (see resource</w:t>
      </w:r>
      <w:r w:rsidR="000B6107" w:rsidRPr="00A8362F">
        <w:rPr>
          <w:spacing w:val="-2"/>
          <w:sz w:val="22"/>
          <w:szCs w:val="22"/>
        </w:rPr>
        <w:t xml:space="preserve"> list).</w:t>
      </w:r>
      <w:r w:rsidR="0021220F" w:rsidRPr="00A8362F">
        <w:rPr>
          <w:spacing w:val="-2"/>
          <w:sz w:val="22"/>
          <w:szCs w:val="22"/>
        </w:rPr>
        <w:t xml:space="preserve"> </w:t>
      </w:r>
      <w:r w:rsidR="00FB0F4E" w:rsidRPr="00A8362F">
        <w:rPr>
          <w:spacing w:val="-2"/>
          <w:sz w:val="22"/>
          <w:szCs w:val="22"/>
        </w:rPr>
        <w:t>Since 1998, AHRQ</w:t>
      </w:r>
      <w:r w:rsidR="0021220F" w:rsidRPr="00A8362F">
        <w:rPr>
          <w:spacing w:val="-2"/>
          <w:sz w:val="22"/>
          <w:szCs w:val="22"/>
        </w:rPr>
        <w:t xml:space="preserve"> has convened the USPSTF</w:t>
      </w:r>
      <w:r w:rsidR="00EE40DF">
        <w:rPr>
          <w:sz w:val="22"/>
          <w:szCs w:val="22"/>
        </w:rPr>
        <w:t xml:space="preserve"> </w:t>
      </w:r>
      <w:r w:rsidR="00EE40DF" w:rsidRPr="000D6F44">
        <w:rPr>
          <w:sz w:val="22"/>
          <w:szCs w:val="22"/>
        </w:rPr>
        <w:t xml:space="preserve">– </w:t>
      </w:r>
      <w:r w:rsidR="0021220F" w:rsidRPr="00A8362F">
        <w:rPr>
          <w:spacing w:val="-2"/>
          <w:sz w:val="22"/>
          <w:szCs w:val="22"/>
        </w:rPr>
        <w:t xml:space="preserve">an independent panel of private-sector experts in prevention and primary care. AHRQ </w:t>
      </w:r>
      <w:r w:rsidR="000835B3" w:rsidRPr="00A8362F">
        <w:rPr>
          <w:spacing w:val="-2"/>
          <w:sz w:val="22"/>
          <w:szCs w:val="22"/>
        </w:rPr>
        <w:t>staff provides</w:t>
      </w:r>
      <w:r w:rsidR="0021220F" w:rsidRPr="00A8362F">
        <w:rPr>
          <w:spacing w:val="-2"/>
          <w:sz w:val="22"/>
          <w:szCs w:val="22"/>
        </w:rPr>
        <w:t xml:space="preserve"> scientific, technical and administrative support for the Task Force, and assist</w:t>
      </w:r>
      <w:r w:rsidR="00897071">
        <w:rPr>
          <w:spacing w:val="-2"/>
          <w:sz w:val="22"/>
          <w:szCs w:val="22"/>
        </w:rPr>
        <w:t>s</w:t>
      </w:r>
      <w:r w:rsidR="0021220F" w:rsidRPr="00A8362F">
        <w:rPr>
          <w:spacing w:val="-2"/>
          <w:sz w:val="22"/>
          <w:szCs w:val="22"/>
        </w:rPr>
        <w:t xml:space="preserve"> in disseminating </w:t>
      </w:r>
      <w:r w:rsidR="00630C10">
        <w:rPr>
          <w:spacing w:val="-2"/>
          <w:sz w:val="22"/>
          <w:szCs w:val="22"/>
        </w:rPr>
        <w:t xml:space="preserve">recommendations to clinicians and findings to </w:t>
      </w:r>
      <w:r w:rsidR="0021220F" w:rsidRPr="00A8362F">
        <w:rPr>
          <w:spacing w:val="-2"/>
          <w:sz w:val="22"/>
          <w:szCs w:val="22"/>
        </w:rPr>
        <w:t xml:space="preserve">key audiences. </w:t>
      </w:r>
    </w:p>
    <w:p w:rsidR="0003757F" w:rsidRPr="00FD59EE" w:rsidRDefault="00F52C78" w:rsidP="007D2F37">
      <w:pPr>
        <w:keepNext/>
        <w:spacing w:line="480" w:lineRule="auto"/>
        <w:ind w:left="720" w:hanging="720"/>
        <w:rPr>
          <w:b/>
          <w:sz w:val="24"/>
          <w:szCs w:val="24"/>
        </w:rPr>
      </w:pPr>
      <w:r w:rsidRPr="00FD59EE">
        <w:rPr>
          <w:b/>
          <w:sz w:val="24"/>
          <w:szCs w:val="24"/>
        </w:rPr>
        <w:t xml:space="preserve">MODEL </w:t>
      </w:r>
      <w:r w:rsidR="00B5623B">
        <w:rPr>
          <w:b/>
          <w:sz w:val="24"/>
          <w:szCs w:val="24"/>
        </w:rPr>
        <w:t xml:space="preserve">INITIATIVE </w:t>
      </w:r>
    </w:p>
    <w:p w:rsidR="00492997" w:rsidRPr="000D6F44" w:rsidRDefault="00B73E88" w:rsidP="00BD1CAC">
      <w:pPr>
        <w:spacing w:line="360" w:lineRule="auto"/>
        <w:ind w:left="720" w:right="720"/>
        <w:jc w:val="center"/>
        <w:rPr>
          <w:sz w:val="22"/>
          <w:szCs w:val="22"/>
        </w:rPr>
      </w:pPr>
      <w:r w:rsidRPr="00B73E88">
        <w:rPr>
          <w:i/>
          <w:sz w:val="22"/>
          <w:szCs w:val="22"/>
        </w:rPr>
        <w:t xml:space="preserve">“This is not just a flu shot, but a range of preventive services offered. </w:t>
      </w:r>
      <w:r>
        <w:rPr>
          <w:i/>
          <w:sz w:val="22"/>
          <w:szCs w:val="22"/>
        </w:rPr>
        <w:br/>
      </w:r>
      <w:r w:rsidRPr="00B73E88">
        <w:rPr>
          <w:i/>
          <w:sz w:val="22"/>
          <w:szCs w:val="22"/>
        </w:rPr>
        <w:t>The positive message to older adults is: ‘You are in charge.’”</w:t>
      </w:r>
      <w:r w:rsidR="00AD68BA" w:rsidRPr="00AD68BA">
        <w:rPr>
          <w:sz w:val="22"/>
          <w:szCs w:val="22"/>
        </w:rPr>
        <w:t xml:space="preserve">– </w:t>
      </w:r>
      <w:r w:rsidR="00492997">
        <w:rPr>
          <w:sz w:val="22"/>
          <w:szCs w:val="22"/>
        </w:rPr>
        <w:t>Cathie Berger</w:t>
      </w:r>
    </w:p>
    <w:p w:rsidR="00B314A2" w:rsidRDefault="00B314A2" w:rsidP="00B314A2">
      <w:pPr>
        <w:ind w:firstLine="360"/>
        <w:rPr>
          <w:sz w:val="22"/>
          <w:szCs w:val="22"/>
        </w:rPr>
      </w:pPr>
    </w:p>
    <w:p w:rsidR="00687919" w:rsidRPr="00687919" w:rsidRDefault="00687919" w:rsidP="007D2F37">
      <w:pPr>
        <w:spacing w:line="480" w:lineRule="auto"/>
        <w:ind w:firstLine="360"/>
        <w:rPr>
          <w:sz w:val="22"/>
          <w:szCs w:val="22"/>
        </w:rPr>
      </w:pPr>
      <w:r w:rsidRPr="00687919">
        <w:rPr>
          <w:sz w:val="22"/>
          <w:szCs w:val="22"/>
        </w:rPr>
        <w:t xml:space="preserve">Among the </w:t>
      </w:r>
      <w:r w:rsidR="00663029">
        <w:rPr>
          <w:sz w:val="22"/>
          <w:szCs w:val="22"/>
        </w:rPr>
        <w:t xml:space="preserve">four strategic directions cited in the </w:t>
      </w:r>
      <w:r w:rsidR="00321E94">
        <w:rPr>
          <w:sz w:val="22"/>
          <w:szCs w:val="22"/>
        </w:rPr>
        <w:t>recently</w:t>
      </w:r>
      <w:r w:rsidR="00EE40DF">
        <w:rPr>
          <w:sz w:val="22"/>
          <w:szCs w:val="22"/>
        </w:rPr>
        <w:t xml:space="preserve"> </w:t>
      </w:r>
      <w:r w:rsidR="00321E94">
        <w:rPr>
          <w:sz w:val="22"/>
          <w:szCs w:val="22"/>
        </w:rPr>
        <w:t>released</w:t>
      </w:r>
      <w:r w:rsidR="00663029">
        <w:rPr>
          <w:sz w:val="22"/>
          <w:szCs w:val="22"/>
        </w:rPr>
        <w:t xml:space="preserve"> </w:t>
      </w:r>
      <w:r w:rsidRPr="00687919">
        <w:rPr>
          <w:sz w:val="22"/>
          <w:szCs w:val="22"/>
        </w:rPr>
        <w:t xml:space="preserve">National Prevention Strategy </w:t>
      </w:r>
      <w:r w:rsidR="00663029">
        <w:rPr>
          <w:sz w:val="22"/>
          <w:szCs w:val="22"/>
        </w:rPr>
        <w:t>is a focus on “Clinical and Community Preventive Services.”</w:t>
      </w:r>
      <w:r w:rsidR="006D4E46">
        <w:rPr>
          <w:sz w:val="22"/>
          <w:szCs w:val="22"/>
        </w:rPr>
        <w:t xml:space="preserve"> </w:t>
      </w:r>
      <w:r w:rsidR="00B96FBA">
        <w:rPr>
          <w:sz w:val="22"/>
          <w:szCs w:val="22"/>
        </w:rPr>
        <w:t>A stated priority is to “reduce barriers to accessing clinical and community preventive services, especially among populations at greatest risk”</w:t>
      </w:r>
      <w:r w:rsidR="006D4E46">
        <w:rPr>
          <w:sz w:val="22"/>
          <w:szCs w:val="22"/>
        </w:rPr>
        <w:t xml:space="preserve"> </w:t>
      </w:r>
      <w:r w:rsidR="00096145">
        <w:rPr>
          <w:sz w:val="22"/>
          <w:szCs w:val="22"/>
        </w:rPr>
        <w:t>(National Prevention Strategy 2011</w:t>
      </w:r>
      <w:r w:rsidR="00096145" w:rsidRPr="00687919">
        <w:rPr>
          <w:sz w:val="22"/>
          <w:szCs w:val="22"/>
        </w:rPr>
        <w:t xml:space="preserve">). </w:t>
      </w:r>
      <w:r w:rsidR="00B96FBA">
        <w:rPr>
          <w:sz w:val="22"/>
          <w:szCs w:val="22"/>
        </w:rPr>
        <w:t xml:space="preserve">To do so, it is recommended that clinical preventive services be located conveniently near homes or workplaces, and that logistical barriers such as lack of transportation or time away from work be addressed to facilitate access. </w:t>
      </w:r>
    </w:p>
    <w:p w:rsidR="002174C2" w:rsidRPr="00AB6269" w:rsidRDefault="008F75FF" w:rsidP="007D2F37">
      <w:pPr>
        <w:spacing w:line="480" w:lineRule="auto"/>
        <w:ind w:firstLine="360"/>
        <w:rPr>
          <w:sz w:val="22"/>
          <w:szCs w:val="22"/>
        </w:rPr>
      </w:pPr>
      <w:r>
        <w:rPr>
          <w:sz w:val="22"/>
          <w:szCs w:val="22"/>
        </w:rPr>
        <w:t xml:space="preserve">The </w:t>
      </w:r>
      <w:r w:rsidRPr="000D6F44">
        <w:rPr>
          <w:sz w:val="22"/>
          <w:szCs w:val="22"/>
        </w:rPr>
        <w:t xml:space="preserve">Sickness Prevention Achieved through Regional Collaboration (SPARC) </w:t>
      </w:r>
      <w:r w:rsidR="00EE40DF">
        <w:rPr>
          <w:sz w:val="22"/>
          <w:szCs w:val="22"/>
        </w:rPr>
        <w:t xml:space="preserve">initiative </w:t>
      </w:r>
      <w:r>
        <w:rPr>
          <w:sz w:val="22"/>
          <w:szCs w:val="22"/>
        </w:rPr>
        <w:t xml:space="preserve">is an </w:t>
      </w:r>
      <w:r w:rsidR="0003757F" w:rsidRPr="000D6F44">
        <w:rPr>
          <w:sz w:val="22"/>
          <w:szCs w:val="22"/>
        </w:rPr>
        <w:t xml:space="preserve">example of a model that has documented success in </w:t>
      </w:r>
      <w:r w:rsidR="00C42778">
        <w:rPr>
          <w:sz w:val="22"/>
          <w:szCs w:val="22"/>
        </w:rPr>
        <w:t xml:space="preserve">increasing the use of </w:t>
      </w:r>
      <w:r w:rsidR="0003757F" w:rsidRPr="000D6F44">
        <w:rPr>
          <w:sz w:val="22"/>
          <w:szCs w:val="22"/>
        </w:rPr>
        <w:t xml:space="preserve">clinical preventive services </w:t>
      </w:r>
      <w:r w:rsidR="00C42778">
        <w:rPr>
          <w:sz w:val="22"/>
          <w:szCs w:val="22"/>
        </w:rPr>
        <w:t>among</w:t>
      </w:r>
      <w:r>
        <w:rPr>
          <w:sz w:val="22"/>
          <w:szCs w:val="22"/>
        </w:rPr>
        <w:t xml:space="preserve"> older adults</w:t>
      </w:r>
      <w:r w:rsidR="00B96FBA">
        <w:rPr>
          <w:sz w:val="22"/>
          <w:szCs w:val="22"/>
        </w:rPr>
        <w:t xml:space="preserve"> by increasing access points for their delivery and reducing logistical barriers</w:t>
      </w:r>
      <w:r w:rsidR="00C42778">
        <w:rPr>
          <w:sz w:val="22"/>
          <w:szCs w:val="22"/>
        </w:rPr>
        <w:t>.</w:t>
      </w:r>
      <w:r w:rsidR="002174C2">
        <w:rPr>
          <w:sz w:val="22"/>
          <w:szCs w:val="22"/>
        </w:rPr>
        <w:t xml:space="preserve"> </w:t>
      </w:r>
      <w:r w:rsidR="002174C2" w:rsidRPr="002174C2">
        <w:rPr>
          <w:sz w:val="22"/>
          <w:szCs w:val="22"/>
        </w:rPr>
        <w:t xml:space="preserve">SPARC is a New </w:t>
      </w:r>
      <w:r w:rsidR="002174C2" w:rsidRPr="00AB6269">
        <w:rPr>
          <w:sz w:val="22"/>
          <w:szCs w:val="22"/>
        </w:rPr>
        <w:t xml:space="preserve">England-based health care organization that helps create partnerships and critical links between community organizations and health care providers to facilitate access to clinical preventive services, such as immunizations and screening for cancers, high blood pressure and elevated blood lipids. </w:t>
      </w:r>
      <w:r w:rsidR="002174C2">
        <w:rPr>
          <w:sz w:val="22"/>
          <w:szCs w:val="22"/>
        </w:rPr>
        <w:t xml:space="preserve">Participating organizations include </w:t>
      </w:r>
      <w:r w:rsidR="002174C2" w:rsidRPr="00045B75">
        <w:rPr>
          <w:sz w:val="22"/>
          <w:szCs w:val="22"/>
        </w:rPr>
        <w:t>local public health agencies, hospitals, social service orga</w:t>
      </w:r>
      <w:r w:rsidR="002174C2">
        <w:rPr>
          <w:sz w:val="22"/>
          <w:szCs w:val="22"/>
        </w:rPr>
        <w:t xml:space="preserve">nizations </w:t>
      </w:r>
      <w:r w:rsidR="002174C2">
        <w:rPr>
          <w:sz w:val="22"/>
          <w:szCs w:val="22"/>
        </w:rPr>
        <w:lastRenderedPageBreak/>
        <w:t xml:space="preserve">and advocacy groups, among others. </w:t>
      </w:r>
      <w:r w:rsidR="002174C2" w:rsidRPr="00AB6269">
        <w:rPr>
          <w:sz w:val="22"/>
          <w:szCs w:val="22"/>
        </w:rPr>
        <w:t>These local networks can also increase access to osteoporosis and diabetes screening, counseling for smoking cessation, and to clinical guidance for routine low-dose aspirin for cardiovascular disease prevention.</w:t>
      </w:r>
    </w:p>
    <w:p w:rsidR="00087AD0" w:rsidRPr="000D6F44" w:rsidRDefault="00A47934" w:rsidP="007D2F37">
      <w:pPr>
        <w:spacing w:line="480" w:lineRule="auto"/>
        <w:ind w:firstLine="360"/>
        <w:rPr>
          <w:sz w:val="22"/>
          <w:szCs w:val="22"/>
        </w:rPr>
      </w:pPr>
      <w:r w:rsidRPr="000D6F44">
        <w:rPr>
          <w:sz w:val="22"/>
          <w:szCs w:val="22"/>
        </w:rPr>
        <w:t>CDC has developed a</w:t>
      </w:r>
      <w:r w:rsidR="004024F2">
        <w:rPr>
          <w:sz w:val="22"/>
          <w:szCs w:val="22"/>
        </w:rPr>
        <w:t>n</w:t>
      </w:r>
      <w:r w:rsidRPr="000D6F44">
        <w:rPr>
          <w:sz w:val="22"/>
          <w:szCs w:val="22"/>
        </w:rPr>
        <w:t xml:space="preserve"> action guide for </w:t>
      </w:r>
      <w:r w:rsidR="00AE3DD2">
        <w:rPr>
          <w:sz w:val="22"/>
          <w:szCs w:val="22"/>
        </w:rPr>
        <w:t xml:space="preserve">communities interested in </w:t>
      </w:r>
      <w:r w:rsidRPr="000D6F44">
        <w:rPr>
          <w:sz w:val="22"/>
          <w:szCs w:val="22"/>
        </w:rPr>
        <w:t xml:space="preserve">implementing SPARC. This action guide is for public health practitioners, clinicians and policy makers and </w:t>
      </w:r>
      <w:r w:rsidR="004024F2">
        <w:rPr>
          <w:sz w:val="22"/>
          <w:szCs w:val="22"/>
        </w:rPr>
        <w:t>has been</w:t>
      </w:r>
      <w:r w:rsidRPr="000D6F44">
        <w:rPr>
          <w:sz w:val="22"/>
          <w:szCs w:val="22"/>
        </w:rPr>
        <w:t xml:space="preserve"> pilot-tested by a local medical society as a way to </w:t>
      </w:r>
      <w:r w:rsidR="00B5133B">
        <w:rPr>
          <w:sz w:val="22"/>
          <w:szCs w:val="22"/>
        </w:rPr>
        <w:t xml:space="preserve">bring together vested stakeholders in a community to focus broadly on </w:t>
      </w:r>
      <w:r w:rsidR="00AE3DD2">
        <w:rPr>
          <w:sz w:val="22"/>
          <w:szCs w:val="22"/>
        </w:rPr>
        <w:t xml:space="preserve">increasing </w:t>
      </w:r>
      <w:r w:rsidR="004024F2">
        <w:rPr>
          <w:sz w:val="22"/>
          <w:szCs w:val="22"/>
        </w:rPr>
        <w:t xml:space="preserve">clinical </w:t>
      </w:r>
      <w:r w:rsidRPr="000D6F44">
        <w:rPr>
          <w:sz w:val="22"/>
          <w:szCs w:val="22"/>
        </w:rPr>
        <w:t>preve</w:t>
      </w:r>
      <w:r w:rsidR="00AA1F67">
        <w:rPr>
          <w:sz w:val="22"/>
          <w:szCs w:val="22"/>
        </w:rPr>
        <w:t>ntive service</w:t>
      </w:r>
      <w:r w:rsidR="00AE3DD2">
        <w:rPr>
          <w:sz w:val="22"/>
          <w:szCs w:val="22"/>
        </w:rPr>
        <w:t xml:space="preserve"> delivery</w:t>
      </w:r>
      <w:r w:rsidR="00AA1F67">
        <w:rPr>
          <w:sz w:val="22"/>
          <w:szCs w:val="22"/>
        </w:rPr>
        <w:t xml:space="preserve"> to residents age</w:t>
      </w:r>
      <w:r w:rsidRPr="000D6F44">
        <w:rPr>
          <w:sz w:val="22"/>
          <w:szCs w:val="22"/>
        </w:rPr>
        <w:t xml:space="preserve"> 50 years or older</w:t>
      </w:r>
      <w:r w:rsidR="00CF423C">
        <w:rPr>
          <w:sz w:val="22"/>
          <w:szCs w:val="22"/>
        </w:rPr>
        <w:t xml:space="preserve"> (CDC 2011a)</w:t>
      </w:r>
      <w:r w:rsidRPr="000D6F44">
        <w:rPr>
          <w:sz w:val="22"/>
          <w:szCs w:val="22"/>
        </w:rPr>
        <w:t xml:space="preserve">. </w:t>
      </w:r>
    </w:p>
    <w:p w:rsidR="00A24449" w:rsidRPr="00A24449" w:rsidRDefault="00DA51A7" w:rsidP="007D2F37">
      <w:pPr>
        <w:spacing w:line="480" w:lineRule="auto"/>
        <w:ind w:firstLine="360"/>
        <w:rPr>
          <w:sz w:val="22"/>
          <w:szCs w:val="22"/>
        </w:rPr>
      </w:pPr>
      <w:r w:rsidRPr="00A24449">
        <w:rPr>
          <w:sz w:val="22"/>
          <w:szCs w:val="22"/>
        </w:rPr>
        <w:t xml:space="preserve">In the </w:t>
      </w:r>
      <w:r w:rsidR="0003757F" w:rsidRPr="00A24449">
        <w:rPr>
          <w:sz w:val="22"/>
          <w:szCs w:val="22"/>
        </w:rPr>
        <w:t xml:space="preserve">SPARC </w:t>
      </w:r>
      <w:r w:rsidRPr="00A24449">
        <w:rPr>
          <w:sz w:val="22"/>
          <w:szCs w:val="22"/>
        </w:rPr>
        <w:t xml:space="preserve">model, the convening organization </w:t>
      </w:r>
      <w:r w:rsidR="0003757F" w:rsidRPr="00A24449">
        <w:rPr>
          <w:sz w:val="22"/>
          <w:szCs w:val="22"/>
        </w:rPr>
        <w:t xml:space="preserve">does not deliver direct services, but instead facilitates and monitors community strategies that make it easier for individuals to get their screenings and immunizations in places convenient for them. One innovative SPARC </w:t>
      </w:r>
      <w:r w:rsidR="00A24449">
        <w:rPr>
          <w:sz w:val="22"/>
          <w:szCs w:val="22"/>
        </w:rPr>
        <w:t xml:space="preserve">initiative </w:t>
      </w:r>
      <w:r w:rsidR="0003757F" w:rsidRPr="00A24449">
        <w:rPr>
          <w:sz w:val="22"/>
          <w:szCs w:val="22"/>
        </w:rPr>
        <w:t xml:space="preserve">is Vote &amp; </w:t>
      </w:r>
      <w:proofErr w:type="spellStart"/>
      <w:r w:rsidR="0003757F" w:rsidRPr="00A24449">
        <w:rPr>
          <w:sz w:val="22"/>
          <w:szCs w:val="22"/>
        </w:rPr>
        <w:t>Vax</w:t>
      </w:r>
      <w:proofErr w:type="spellEnd"/>
      <w:r w:rsidR="0003757F" w:rsidRPr="00A24449">
        <w:rPr>
          <w:sz w:val="22"/>
          <w:szCs w:val="22"/>
        </w:rPr>
        <w:t>, a strategy that makes vaccines and appointments for cancer screenings available at polling places on election days.</w:t>
      </w:r>
      <w:r w:rsidR="00A24449" w:rsidRPr="00A24449">
        <w:rPr>
          <w:sz w:val="22"/>
          <w:szCs w:val="22"/>
        </w:rPr>
        <w:t xml:space="preserve"> </w:t>
      </w:r>
      <w:r w:rsidR="00A24449">
        <w:rPr>
          <w:sz w:val="22"/>
          <w:szCs w:val="22"/>
        </w:rPr>
        <w:t xml:space="preserve">During </w:t>
      </w:r>
      <w:r w:rsidR="00A24449" w:rsidRPr="00A24449">
        <w:rPr>
          <w:sz w:val="22"/>
          <w:szCs w:val="22"/>
        </w:rPr>
        <w:t xml:space="preserve">the 2008 </w:t>
      </w:r>
      <w:r w:rsidR="00A24449">
        <w:rPr>
          <w:sz w:val="22"/>
          <w:szCs w:val="22"/>
        </w:rPr>
        <w:t>e</w:t>
      </w:r>
      <w:r w:rsidR="00A24449" w:rsidRPr="00A24449">
        <w:rPr>
          <w:sz w:val="22"/>
          <w:szCs w:val="22"/>
        </w:rPr>
        <w:t xml:space="preserve">lection, Vote &amp; </w:t>
      </w:r>
      <w:proofErr w:type="spellStart"/>
      <w:r w:rsidR="00A24449" w:rsidRPr="00A24449">
        <w:rPr>
          <w:sz w:val="22"/>
          <w:szCs w:val="22"/>
        </w:rPr>
        <w:t>Vax</w:t>
      </w:r>
      <w:proofErr w:type="spellEnd"/>
      <w:r w:rsidR="00A24449" w:rsidRPr="00A24449">
        <w:rPr>
          <w:sz w:val="22"/>
          <w:szCs w:val="22"/>
        </w:rPr>
        <w:t xml:space="preserve"> participants delivered 21,434 influenza vaccinations at 331 locations in 42 states and the District of Columbia. Of those vaccinated, almost half (47.7%) were "new" recipients, meaning they had either not received a flu shot in the preceding year or would not have otherwise been vaccinated</w:t>
      </w:r>
      <w:r w:rsidR="00A24449">
        <w:rPr>
          <w:sz w:val="22"/>
          <w:szCs w:val="22"/>
        </w:rPr>
        <w:t>.</w:t>
      </w:r>
      <w:r w:rsidR="00A24449" w:rsidRPr="00A24449">
        <w:rPr>
          <w:sz w:val="22"/>
          <w:szCs w:val="22"/>
        </w:rPr>
        <w:t xml:space="preserve"> </w:t>
      </w:r>
    </w:p>
    <w:p w:rsidR="00087AD0" w:rsidRPr="000D6F44" w:rsidRDefault="0003757F" w:rsidP="007D2F37">
      <w:pPr>
        <w:spacing w:line="480" w:lineRule="auto"/>
        <w:ind w:firstLine="360"/>
        <w:rPr>
          <w:sz w:val="22"/>
          <w:szCs w:val="22"/>
        </w:rPr>
      </w:pPr>
      <w:r w:rsidRPr="000D6F44">
        <w:rPr>
          <w:sz w:val="22"/>
          <w:szCs w:val="22"/>
        </w:rPr>
        <w:t>In 2006</w:t>
      </w:r>
      <w:r w:rsidR="00DA51A7">
        <w:rPr>
          <w:sz w:val="22"/>
          <w:szCs w:val="22"/>
        </w:rPr>
        <w:t>,</w:t>
      </w:r>
      <w:r w:rsidRPr="000D6F44">
        <w:rPr>
          <w:sz w:val="22"/>
          <w:szCs w:val="22"/>
        </w:rPr>
        <w:t xml:space="preserve"> CDC facilitated a partnership between SPARC and the Atlanta Regional Commission’s Aging Services </w:t>
      </w:r>
      <w:r w:rsidR="0070666B">
        <w:rPr>
          <w:sz w:val="22"/>
          <w:szCs w:val="22"/>
        </w:rPr>
        <w:t>D</w:t>
      </w:r>
      <w:r w:rsidRPr="000D6F44">
        <w:rPr>
          <w:sz w:val="22"/>
          <w:szCs w:val="22"/>
        </w:rPr>
        <w:t>ivision that led to the launch of a SPARC pilot in Atlanta, with the Atlanta Regional Commission serving as the regional coordinato</w:t>
      </w:r>
      <w:r w:rsidR="00940053">
        <w:rPr>
          <w:sz w:val="22"/>
          <w:szCs w:val="22"/>
        </w:rPr>
        <w:t>r</w:t>
      </w:r>
      <w:r w:rsidRPr="000D6F44">
        <w:rPr>
          <w:sz w:val="22"/>
          <w:szCs w:val="22"/>
        </w:rPr>
        <w:t>. Coalitions of local health departments,</w:t>
      </w:r>
      <w:r w:rsidR="004024F2">
        <w:rPr>
          <w:sz w:val="22"/>
          <w:szCs w:val="22"/>
        </w:rPr>
        <w:t xml:space="preserve"> county aging </w:t>
      </w:r>
      <w:r w:rsidRPr="000D6F44">
        <w:rPr>
          <w:sz w:val="22"/>
          <w:szCs w:val="22"/>
        </w:rPr>
        <w:t xml:space="preserve">agencies, health care providers and other parties interesting in improving the health of community residents were established in Fulton and </w:t>
      </w:r>
      <w:r w:rsidR="00FB5F50" w:rsidRPr="000D6F44">
        <w:rPr>
          <w:sz w:val="22"/>
          <w:szCs w:val="22"/>
        </w:rPr>
        <w:t>Fayette counties</w:t>
      </w:r>
      <w:r w:rsidRPr="000D6F44">
        <w:rPr>
          <w:sz w:val="22"/>
          <w:szCs w:val="22"/>
        </w:rPr>
        <w:t xml:space="preserve">. A survey of the region conducted in 2006 estimated that only 44% of older residents received an influenza vaccination in the past year, 42% received a pneumococcal vaccination, 25% received screening for colorectal cancer in the past </w:t>
      </w:r>
      <w:r w:rsidR="00B923A0">
        <w:rPr>
          <w:sz w:val="22"/>
          <w:szCs w:val="22"/>
        </w:rPr>
        <w:t>two</w:t>
      </w:r>
      <w:r w:rsidRPr="000D6F44">
        <w:rPr>
          <w:sz w:val="22"/>
          <w:szCs w:val="22"/>
        </w:rPr>
        <w:t xml:space="preserve"> years, and 65% of older women received a routine mammogram within the past </w:t>
      </w:r>
      <w:r w:rsidR="00B923A0">
        <w:rPr>
          <w:sz w:val="22"/>
          <w:szCs w:val="22"/>
        </w:rPr>
        <w:t>two</w:t>
      </w:r>
      <w:r w:rsidRPr="000D6F44">
        <w:rPr>
          <w:sz w:val="22"/>
          <w:szCs w:val="22"/>
        </w:rPr>
        <w:t xml:space="preserve"> years</w:t>
      </w:r>
      <w:r w:rsidR="00882C0E">
        <w:rPr>
          <w:sz w:val="22"/>
          <w:szCs w:val="22"/>
        </w:rPr>
        <w:t xml:space="preserve"> (Shenson 2008)</w:t>
      </w:r>
      <w:r w:rsidRPr="000D6F44">
        <w:rPr>
          <w:sz w:val="22"/>
          <w:szCs w:val="22"/>
        </w:rPr>
        <w:t>.</w:t>
      </w:r>
      <w:r w:rsidR="00A22744">
        <w:rPr>
          <w:sz w:val="22"/>
          <w:szCs w:val="22"/>
        </w:rPr>
        <w:t xml:space="preserve"> </w:t>
      </w:r>
      <w:r w:rsidR="0070666B">
        <w:rPr>
          <w:sz w:val="22"/>
          <w:szCs w:val="22"/>
        </w:rPr>
        <w:t xml:space="preserve">These were among the data used by the coalitions to </w:t>
      </w:r>
      <w:r w:rsidR="0070666B" w:rsidRPr="000D6F44">
        <w:rPr>
          <w:sz w:val="22"/>
          <w:szCs w:val="22"/>
        </w:rPr>
        <w:t>target clinical pr</w:t>
      </w:r>
      <w:r w:rsidR="0070666B">
        <w:rPr>
          <w:sz w:val="22"/>
          <w:szCs w:val="22"/>
        </w:rPr>
        <w:t>eventive services to adults age</w:t>
      </w:r>
      <w:r w:rsidR="0070666B" w:rsidRPr="000D6F44">
        <w:rPr>
          <w:sz w:val="22"/>
          <w:szCs w:val="22"/>
        </w:rPr>
        <w:t xml:space="preserve"> 55 or older who were likely not to have received all routinely recommended services</w:t>
      </w:r>
      <w:r w:rsidR="0070666B">
        <w:rPr>
          <w:sz w:val="22"/>
          <w:szCs w:val="22"/>
        </w:rPr>
        <w:t>.</w:t>
      </w:r>
    </w:p>
    <w:p w:rsidR="00087AD0" w:rsidRPr="0073520F" w:rsidRDefault="0003757F" w:rsidP="007D2F37">
      <w:pPr>
        <w:spacing w:line="480" w:lineRule="auto"/>
        <w:ind w:firstLine="360"/>
        <w:rPr>
          <w:spacing w:val="-4"/>
          <w:sz w:val="22"/>
          <w:szCs w:val="22"/>
        </w:rPr>
      </w:pPr>
      <w:r w:rsidRPr="000D6F44">
        <w:rPr>
          <w:sz w:val="22"/>
          <w:szCs w:val="22"/>
        </w:rPr>
        <w:lastRenderedPageBreak/>
        <w:t>During a three-week pilot held at senior housing facilities, a local fire station and a school, the initiative delivered 189 influenza and 49 pneumococcal vaccinations, and 44 tetanus booster shots</w:t>
      </w:r>
      <w:r w:rsidR="00882C0E">
        <w:rPr>
          <w:sz w:val="22"/>
          <w:szCs w:val="22"/>
        </w:rPr>
        <w:t xml:space="preserve"> (Shenson 2008)</w:t>
      </w:r>
      <w:r w:rsidRPr="000D6F44">
        <w:rPr>
          <w:sz w:val="22"/>
          <w:szCs w:val="22"/>
        </w:rPr>
        <w:t xml:space="preserve">. Approximately 62% of adults receiving an influenza vaccination stated they had not </w:t>
      </w:r>
      <w:r w:rsidRPr="0073520F">
        <w:rPr>
          <w:spacing w:val="-4"/>
          <w:sz w:val="22"/>
          <w:szCs w:val="22"/>
        </w:rPr>
        <w:t>received one in the previous 12 months, and 56% thought it “not very likely” or were “not sure” that they would have received an influenza vaccination if they had not had one at a SPARC clinic site</w:t>
      </w:r>
      <w:r w:rsidR="00D245CA" w:rsidRPr="0073520F">
        <w:rPr>
          <w:spacing w:val="-4"/>
          <w:sz w:val="22"/>
          <w:szCs w:val="22"/>
        </w:rPr>
        <w:t xml:space="preserve">. </w:t>
      </w:r>
      <w:r w:rsidRPr="0073520F">
        <w:rPr>
          <w:spacing w:val="-4"/>
          <w:sz w:val="22"/>
          <w:szCs w:val="22"/>
        </w:rPr>
        <w:t xml:space="preserve">Each of the </w:t>
      </w:r>
      <w:r w:rsidR="00C87B0E" w:rsidRPr="0073520F">
        <w:rPr>
          <w:spacing w:val="-4"/>
          <w:sz w:val="22"/>
          <w:szCs w:val="22"/>
        </w:rPr>
        <w:t xml:space="preserve">sites </w:t>
      </w:r>
      <w:r w:rsidRPr="0073520F">
        <w:rPr>
          <w:spacing w:val="-4"/>
          <w:sz w:val="22"/>
          <w:szCs w:val="22"/>
        </w:rPr>
        <w:t>also provided screening for diabetes (43 total), as well as access to mammograms for women older than 40 who had not received screening in the past 12 to 24 months (32 appointments were scheduled). A total of 314 residents were served</w:t>
      </w:r>
      <w:r w:rsidR="00A61521" w:rsidRPr="0073520F">
        <w:rPr>
          <w:spacing w:val="-4"/>
          <w:sz w:val="22"/>
          <w:szCs w:val="22"/>
        </w:rPr>
        <w:t xml:space="preserve">. </w:t>
      </w:r>
      <w:r w:rsidRPr="0073520F">
        <w:rPr>
          <w:spacing w:val="-4"/>
          <w:sz w:val="22"/>
          <w:szCs w:val="22"/>
        </w:rPr>
        <w:t>Approximatel</w:t>
      </w:r>
      <w:r w:rsidR="00AA1F67" w:rsidRPr="0073520F">
        <w:rPr>
          <w:spacing w:val="-4"/>
          <w:sz w:val="22"/>
          <w:szCs w:val="22"/>
        </w:rPr>
        <w:t>y one-third of clients were age 65 or older</w:t>
      </w:r>
      <w:r w:rsidR="00A61521" w:rsidRPr="0073520F">
        <w:rPr>
          <w:spacing w:val="-4"/>
          <w:sz w:val="22"/>
          <w:szCs w:val="22"/>
        </w:rPr>
        <w:t xml:space="preserve"> and </w:t>
      </w:r>
      <w:r w:rsidR="00AA1F67" w:rsidRPr="0073520F">
        <w:rPr>
          <w:spacing w:val="-4"/>
          <w:sz w:val="22"/>
          <w:szCs w:val="22"/>
        </w:rPr>
        <w:t>40% were age 50 to 64</w:t>
      </w:r>
      <w:r w:rsidRPr="0073520F">
        <w:rPr>
          <w:spacing w:val="-4"/>
          <w:sz w:val="22"/>
          <w:szCs w:val="22"/>
        </w:rPr>
        <w:t>.</w:t>
      </w:r>
      <w:r w:rsidR="00087AD0" w:rsidRPr="0073520F">
        <w:rPr>
          <w:spacing w:val="-4"/>
          <w:sz w:val="22"/>
          <w:szCs w:val="22"/>
        </w:rPr>
        <w:t xml:space="preserve"> </w:t>
      </w:r>
    </w:p>
    <w:p w:rsidR="00087AD0" w:rsidRDefault="0003757F" w:rsidP="007D2F37">
      <w:pPr>
        <w:spacing w:line="480" w:lineRule="auto"/>
        <w:ind w:firstLine="360"/>
        <w:rPr>
          <w:sz w:val="22"/>
          <w:szCs w:val="22"/>
        </w:rPr>
      </w:pPr>
      <w:r w:rsidRPr="000D6F44">
        <w:rPr>
          <w:rFonts w:eastAsia="Times New Roman"/>
          <w:color w:val="000000"/>
          <w:sz w:val="22"/>
          <w:szCs w:val="22"/>
        </w:rPr>
        <w:t xml:space="preserve">In Fayette County, 634 influenza vaccinations were delivered at Vote </w:t>
      </w:r>
      <w:r w:rsidR="005A469F">
        <w:rPr>
          <w:rFonts w:eastAsia="Times New Roman"/>
          <w:color w:val="000000"/>
          <w:sz w:val="22"/>
          <w:szCs w:val="22"/>
        </w:rPr>
        <w:t>&amp;</w:t>
      </w:r>
      <w:proofErr w:type="spellStart"/>
      <w:r w:rsidRPr="000D6F44">
        <w:rPr>
          <w:rFonts w:eastAsia="Times New Roman"/>
          <w:color w:val="000000"/>
          <w:sz w:val="22"/>
          <w:szCs w:val="22"/>
        </w:rPr>
        <w:t>Vax</w:t>
      </w:r>
      <w:proofErr w:type="spellEnd"/>
      <w:r w:rsidRPr="000D6F44">
        <w:rPr>
          <w:rFonts w:eastAsia="Times New Roman"/>
          <w:color w:val="000000"/>
          <w:sz w:val="22"/>
          <w:szCs w:val="22"/>
        </w:rPr>
        <w:t xml:space="preserve"> </w:t>
      </w:r>
      <w:r w:rsidR="00C87B0E">
        <w:rPr>
          <w:rFonts w:eastAsia="Times New Roman"/>
          <w:color w:val="000000"/>
          <w:sz w:val="22"/>
          <w:szCs w:val="22"/>
        </w:rPr>
        <w:t xml:space="preserve">sites </w:t>
      </w:r>
      <w:r w:rsidRPr="000D6F44">
        <w:rPr>
          <w:rFonts w:eastAsia="Times New Roman"/>
          <w:color w:val="000000"/>
          <w:sz w:val="22"/>
          <w:szCs w:val="22"/>
        </w:rPr>
        <w:t xml:space="preserve">situated near 10 polling places. </w:t>
      </w:r>
      <w:r w:rsidR="000835B3" w:rsidRPr="000D6F44">
        <w:rPr>
          <w:rFonts w:eastAsia="Times New Roman"/>
          <w:color w:val="000000"/>
          <w:sz w:val="22"/>
          <w:szCs w:val="22"/>
        </w:rPr>
        <w:t>Approximately 83% of recipients were in influenza vaccine priority groups (age 50 or older, or age 18 to 49 with elevated risk factors); 61% were men and 39% were women</w:t>
      </w:r>
      <w:bookmarkStart w:id="1" w:name="table1_up"/>
      <w:bookmarkEnd w:id="1"/>
      <w:r w:rsidR="000835B3" w:rsidRPr="000D6F44">
        <w:rPr>
          <w:rFonts w:eastAsia="Times New Roman"/>
          <w:color w:val="000000"/>
          <w:sz w:val="22"/>
          <w:szCs w:val="22"/>
        </w:rPr>
        <w:t xml:space="preserve">. </w:t>
      </w:r>
      <w:r w:rsidRPr="000D6F44">
        <w:rPr>
          <w:rFonts w:eastAsia="Times New Roman"/>
          <w:color w:val="000000"/>
          <w:sz w:val="22"/>
          <w:szCs w:val="22"/>
        </w:rPr>
        <w:t xml:space="preserve">Approximately 27% of the recipients had not received an influenza vaccination in the past 12 months. </w:t>
      </w:r>
      <w:r w:rsidR="00940053">
        <w:rPr>
          <w:rFonts w:eastAsia="Times New Roman"/>
          <w:color w:val="000000"/>
          <w:sz w:val="22"/>
          <w:szCs w:val="22"/>
        </w:rPr>
        <w:t>P</w:t>
      </w:r>
      <w:r w:rsidRPr="000D6F44">
        <w:rPr>
          <w:sz w:val="22"/>
          <w:szCs w:val="22"/>
        </w:rPr>
        <w:t>neumococcal vaccination</w:t>
      </w:r>
      <w:r w:rsidRPr="000D6F44">
        <w:rPr>
          <w:rFonts w:eastAsia="Times New Roman"/>
          <w:color w:val="000000"/>
          <w:sz w:val="22"/>
          <w:szCs w:val="22"/>
        </w:rPr>
        <w:t xml:space="preserve"> was also provided at Vote </w:t>
      </w:r>
      <w:r w:rsidR="000A1C40">
        <w:rPr>
          <w:rFonts w:eastAsia="Times New Roman"/>
          <w:color w:val="000000"/>
          <w:sz w:val="22"/>
          <w:szCs w:val="22"/>
        </w:rPr>
        <w:t xml:space="preserve">&amp; </w:t>
      </w:r>
      <w:proofErr w:type="spellStart"/>
      <w:r w:rsidRPr="000D6F44">
        <w:rPr>
          <w:rFonts w:eastAsia="Times New Roman"/>
          <w:color w:val="000000"/>
          <w:sz w:val="22"/>
          <w:szCs w:val="22"/>
        </w:rPr>
        <w:t>Vax</w:t>
      </w:r>
      <w:proofErr w:type="spellEnd"/>
      <w:r w:rsidRPr="000D6F44">
        <w:rPr>
          <w:rFonts w:eastAsia="Times New Roman"/>
          <w:color w:val="000000"/>
          <w:sz w:val="22"/>
          <w:szCs w:val="22"/>
        </w:rPr>
        <w:t xml:space="preserve"> clinics. Approximately 96% of the vaccine recipients had Medicare, Medicaid, or other health insurance coverage. At the Fayette County </w:t>
      </w:r>
      <w:r w:rsidR="00481FFF">
        <w:rPr>
          <w:rFonts w:eastAsia="Times New Roman"/>
          <w:color w:val="000000"/>
          <w:sz w:val="22"/>
          <w:szCs w:val="22"/>
        </w:rPr>
        <w:t>SPARC event</w:t>
      </w:r>
      <w:r w:rsidRPr="000D6F44">
        <w:rPr>
          <w:rFonts w:eastAsia="Times New Roman"/>
          <w:color w:val="000000"/>
          <w:sz w:val="22"/>
          <w:szCs w:val="22"/>
        </w:rPr>
        <w:t>, held at a local church, several preventive services were offered to attendees, including influenza and pneumococcal vaccinations; referrals for breast cancer and colorectal cancer screening; and screening for diabetes, hypertension and osteoporosis</w:t>
      </w:r>
      <w:r w:rsidR="00882C0E">
        <w:rPr>
          <w:rFonts w:eastAsia="Times New Roman"/>
          <w:color w:val="000000"/>
          <w:sz w:val="22"/>
          <w:szCs w:val="22"/>
        </w:rPr>
        <w:t xml:space="preserve"> (Shenson 2008)</w:t>
      </w:r>
      <w:r w:rsidRPr="000D6F44">
        <w:rPr>
          <w:rFonts w:eastAsia="Times New Roman"/>
          <w:color w:val="000000"/>
          <w:sz w:val="22"/>
          <w:szCs w:val="22"/>
        </w:rPr>
        <w:t>.</w:t>
      </w:r>
      <w:r w:rsidR="00087AD0" w:rsidRPr="000D6F44">
        <w:rPr>
          <w:sz w:val="22"/>
          <w:szCs w:val="22"/>
        </w:rPr>
        <w:t xml:space="preserve"> </w:t>
      </w:r>
    </w:p>
    <w:p w:rsidR="00DE5A8F" w:rsidRPr="00DE5A8F" w:rsidRDefault="00940053" w:rsidP="007D2F37">
      <w:pPr>
        <w:spacing w:line="480" w:lineRule="auto"/>
        <w:ind w:firstLine="360"/>
        <w:rPr>
          <w:sz w:val="22"/>
          <w:szCs w:val="22"/>
        </w:rPr>
      </w:pPr>
      <w:r>
        <w:rPr>
          <w:sz w:val="22"/>
          <w:szCs w:val="22"/>
        </w:rPr>
        <w:t>Since that pilot was completed, the SPARC program has continued</w:t>
      </w:r>
      <w:r w:rsidR="00F52C78">
        <w:rPr>
          <w:sz w:val="22"/>
          <w:szCs w:val="22"/>
        </w:rPr>
        <w:t xml:space="preserve"> to grow in the Atlanta region, </w:t>
      </w:r>
      <w:r w:rsidRPr="00940053">
        <w:rPr>
          <w:sz w:val="22"/>
          <w:szCs w:val="22"/>
        </w:rPr>
        <w:t xml:space="preserve">according to Cathie Berger, </w:t>
      </w:r>
      <w:r>
        <w:rPr>
          <w:sz w:val="22"/>
          <w:szCs w:val="22"/>
        </w:rPr>
        <w:t>c</w:t>
      </w:r>
      <w:r w:rsidRPr="00940053">
        <w:rPr>
          <w:sz w:val="22"/>
          <w:szCs w:val="22"/>
        </w:rPr>
        <w:t>hief</w:t>
      </w:r>
      <w:r>
        <w:rPr>
          <w:sz w:val="22"/>
          <w:szCs w:val="22"/>
        </w:rPr>
        <w:t xml:space="preserve"> of the</w:t>
      </w:r>
      <w:r w:rsidRPr="00940053">
        <w:rPr>
          <w:sz w:val="22"/>
          <w:szCs w:val="22"/>
        </w:rPr>
        <w:t xml:space="preserve"> Aging </w:t>
      </w:r>
      <w:r w:rsidR="00C87B0E">
        <w:rPr>
          <w:sz w:val="22"/>
          <w:szCs w:val="22"/>
        </w:rPr>
        <w:t xml:space="preserve">Services </w:t>
      </w:r>
      <w:r w:rsidRPr="00940053">
        <w:rPr>
          <w:sz w:val="22"/>
          <w:szCs w:val="22"/>
        </w:rPr>
        <w:t xml:space="preserve">Division </w:t>
      </w:r>
      <w:r>
        <w:rPr>
          <w:sz w:val="22"/>
          <w:szCs w:val="22"/>
        </w:rPr>
        <w:t xml:space="preserve">at the </w:t>
      </w:r>
      <w:r w:rsidRPr="00940053">
        <w:rPr>
          <w:sz w:val="22"/>
          <w:szCs w:val="22"/>
        </w:rPr>
        <w:t>Atlanta Regional Commission</w:t>
      </w:r>
      <w:r w:rsidR="00D11719">
        <w:rPr>
          <w:sz w:val="22"/>
          <w:szCs w:val="22"/>
        </w:rPr>
        <w:t xml:space="preserve"> (ARC)</w:t>
      </w:r>
      <w:r>
        <w:rPr>
          <w:sz w:val="22"/>
          <w:szCs w:val="22"/>
        </w:rPr>
        <w:t xml:space="preserve">. </w:t>
      </w:r>
      <w:r w:rsidR="00F52C78">
        <w:rPr>
          <w:sz w:val="22"/>
          <w:szCs w:val="22"/>
        </w:rPr>
        <w:t xml:space="preserve">Each county runs its own program. </w:t>
      </w:r>
      <w:r w:rsidR="00DE5A8F" w:rsidRPr="00DE5A8F">
        <w:rPr>
          <w:sz w:val="22"/>
          <w:szCs w:val="22"/>
        </w:rPr>
        <w:t>“The strength of this program is that it brings together the community organizations with a common mi</w:t>
      </w:r>
      <w:r w:rsidR="00C7081A">
        <w:rPr>
          <w:sz w:val="22"/>
          <w:szCs w:val="22"/>
        </w:rPr>
        <w:t>ssion to do preventive services,” Berger explained. “</w:t>
      </w:r>
      <w:r w:rsidR="00DE5A8F" w:rsidRPr="00DE5A8F">
        <w:rPr>
          <w:sz w:val="22"/>
          <w:szCs w:val="22"/>
        </w:rPr>
        <w:t>They all do it with their own funding</w:t>
      </w:r>
      <w:r w:rsidR="00E950C5">
        <w:rPr>
          <w:sz w:val="22"/>
          <w:szCs w:val="22"/>
        </w:rPr>
        <w:t xml:space="preserve"> and resources</w:t>
      </w:r>
      <w:r w:rsidR="00DE5A8F" w:rsidRPr="00DE5A8F">
        <w:rPr>
          <w:sz w:val="22"/>
          <w:szCs w:val="22"/>
        </w:rPr>
        <w:t xml:space="preserve">. Each one brings to the table what they do the best. Our role is to convene the overall steering committee for all of these participating agencies. And </w:t>
      </w:r>
      <w:r w:rsidR="00C7081A">
        <w:rPr>
          <w:sz w:val="22"/>
          <w:szCs w:val="22"/>
        </w:rPr>
        <w:t xml:space="preserve">then </w:t>
      </w:r>
      <w:r w:rsidR="00DE5A8F" w:rsidRPr="00DE5A8F">
        <w:rPr>
          <w:sz w:val="22"/>
          <w:szCs w:val="22"/>
        </w:rPr>
        <w:t>they take i</w:t>
      </w:r>
      <w:r w:rsidR="00C7081A">
        <w:rPr>
          <w:sz w:val="22"/>
          <w:szCs w:val="22"/>
        </w:rPr>
        <w:t>t out into their own community.”</w:t>
      </w:r>
    </w:p>
    <w:p w:rsidR="006E67A4" w:rsidRDefault="006E67A4" w:rsidP="007D2F37">
      <w:pPr>
        <w:spacing w:line="480" w:lineRule="auto"/>
        <w:ind w:firstLine="360"/>
        <w:rPr>
          <w:sz w:val="22"/>
          <w:szCs w:val="22"/>
        </w:rPr>
      </w:pPr>
      <w:r>
        <w:rPr>
          <w:sz w:val="22"/>
          <w:szCs w:val="22"/>
        </w:rPr>
        <w:t xml:space="preserve">In 2011, </w:t>
      </w:r>
      <w:r w:rsidR="00F65F88">
        <w:rPr>
          <w:sz w:val="22"/>
          <w:szCs w:val="22"/>
        </w:rPr>
        <w:t xml:space="preserve">the region expects to serve approximately 2,400 persons at 17 SPARC events. </w:t>
      </w:r>
      <w:r w:rsidR="00F52C78">
        <w:rPr>
          <w:sz w:val="22"/>
          <w:szCs w:val="22"/>
        </w:rPr>
        <w:t xml:space="preserve">Clayton County will hold three SPARC programs (up from two last year) and reach approximately </w:t>
      </w:r>
      <w:r w:rsidR="00F65F88">
        <w:rPr>
          <w:sz w:val="22"/>
          <w:szCs w:val="22"/>
        </w:rPr>
        <w:t xml:space="preserve">1,000 </w:t>
      </w:r>
      <w:r w:rsidR="00F52C78">
        <w:rPr>
          <w:sz w:val="22"/>
          <w:szCs w:val="22"/>
        </w:rPr>
        <w:t xml:space="preserve">people. </w:t>
      </w:r>
      <w:r w:rsidR="00F65F88">
        <w:rPr>
          <w:sz w:val="22"/>
          <w:szCs w:val="22"/>
        </w:rPr>
        <w:lastRenderedPageBreak/>
        <w:t>Its</w:t>
      </w:r>
      <w:r w:rsidR="00F52C78">
        <w:rPr>
          <w:sz w:val="22"/>
          <w:szCs w:val="22"/>
        </w:rPr>
        <w:t xml:space="preserve"> events are held in senior centers, adult day care centers and other places frequented by older adults, noted Mary Bl</w:t>
      </w:r>
      <w:r w:rsidR="00CC439E">
        <w:rPr>
          <w:sz w:val="22"/>
          <w:szCs w:val="22"/>
        </w:rPr>
        <w:t>u</w:t>
      </w:r>
      <w:r w:rsidR="00F52C78">
        <w:rPr>
          <w:sz w:val="22"/>
          <w:szCs w:val="22"/>
        </w:rPr>
        <w:t>mberg,</w:t>
      </w:r>
      <w:r w:rsidR="00D11719">
        <w:rPr>
          <w:sz w:val="22"/>
          <w:szCs w:val="22"/>
        </w:rPr>
        <w:t xml:space="preserve"> ARC’s </w:t>
      </w:r>
      <w:r w:rsidR="00D11719" w:rsidRPr="00D11719">
        <w:rPr>
          <w:sz w:val="22"/>
          <w:szCs w:val="22"/>
        </w:rPr>
        <w:t>coordinator of health services</w:t>
      </w:r>
      <w:r w:rsidR="00F52C78">
        <w:rPr>
          <w:sz w:val="22"/>
          <w:szCs w:val="22"/>
        </w:rPr>
        <w:t xml:space="preserve">. </w:t>
      </w:r>
    </w:p>
    <w:p w:rsidR="006E67A4" w:rsidRDefault="009969A8" w:rsidP="007D2F37">
      <w:pPr>
        <w:spacing w:line="480" w:lineRule="auto"/>
        <w:ind w:firstLine="360"/>
        <w:rPr>
          <w:sz w:val="22"/>
          <w:szCs w:val="22"/>
        </w:rPr>
      </w:pPr>
      <w:r>
        <w:rPr>
          <w:sz w:val="22"/>
          <w:szCs w:val="22"/>
        </w:rPr>
        <w:t xml:space="preserve">A county more recently implementing SPARC in the Atlanta region, </w:t>
      </w:r>
      <w:r w:rsidR="000835B3">
        <w:rPr>
          <w:sz w:val="22"/>
          <w:szCs w:val="22"/>
        </w:rPr>
        <w:t>DeKalb</w:t>
      </w:r>
      <w:r w:rsidR="00F52C78">
        <w:rPr>
          <w:sz w:val="22"/>
          <w:szCs w:val="22"/>
        </w:rPr>
        <w:t xml:space="preserve"> County will hold four programs and reach</w:t>
      </w:r>
      <w:r w:rsidR="00F65F88">
        <w:rPr>
          <w:sz w:val="22"/>
          <w:szCs w:val="22"/>
        </w:rPr>
        <w:t xml:space="preserve"> 4</w:t>
      </w:r>
      <w:r w:rsidR="00F52C78">
        <w:rPr>
          <w:sz w:val="22"/>
          <w:szCs w:val="22"/>
        </w:rPr>
        <w:t xml:space="preserve">00 people. Its events are held in high rises or senior centers and utilize a local shuttle transportation program to get older adults to the event. </w:t>
      </w:r>
    </w:p>
    <w:p w:rsidR="006E67A4" w:rsidRDefault="00F52C78" w:rsidP="007D2F37">
      <w:pPr>
        <w:spacing w:line="480" w:lineRule="auto"/>
        <w:ind w:firstLine="360"/>
        <w:rPr>
          <w:sz w:val="22"/>
          <w:szCs w:val="22"/>
        </w:rPr>
      </w:pPr>
      <w:r>
        <w:rPr>
          <w:sz w:val="22"/>
          <w:szCs w:val="22"/>
        </w:rPr>
        <w:t xml:space="preserve">Fulton County </w:t>
      </w:r>
      <w:r w:rsidR="00F65F88">
        <w:rPr>
          <w:sz w:val="22"/>
          <w:szCs w:val="22"/>
        </w:rPr>
        <w:t>expects to reach 1,000 people through 11</w:t>
      </w:r>
      <w:r>
        <w:rPr>
          <w:sz w:val="22"/>
          <w:szCs w:val="22"/>
        </w:rPr>
        <w:t xml:space="preserve"> events this year, including those at senior centers, nutrition sites, affordable housing sites and at faith-based organizations.</w:t>
      </w:r>
      <w:r w:rsidR="00F65F88">
        <w:rPr>
          <w:sz w:val="22"/>
          <w:szCs w:val="22"/>
        </w:rPr>
        <w:t xml:space="preserve"> </w:t>
      </w:r>
      <w:r>
        <w:rPr>
          <w:sz w:val="22"/>
          <w:szCs w:val="22"/>
        </w:rPr>
        <w:t>“They really made an effort to have it somewhere besides a senior center,” Berger said.</w:t>
      </w:r>
      <w:r w:rsidR="00CA1D36">
        <w:rPr>
          <w:sz w:val="22"/>
          <w:szCs w:val="22"/>
        </w:rPr>
        <w:t xml:space="preserve"> </w:t>
      </w:r>
    </w:p>
    <w:p w:rsidR="00F52C78" w:rsidRPr="0073520F" w:rsidRDefault="00F52C78" w:rsidP="007D2F37">
      <w:pPr>
        <w:spacing w:line="480" w:lineRule="auto"/>
        <w:ind w:firstLine="360"/>
        <w:rPr>
          <w:spacing w:val="-2"/>
          <w:sz w:val="22"/>
          <w:szCs w:val="22"/>
        </w:rPr>
      </w:pPr>
      <w:r w:rsidRPr="0073520F">
        <w:rPr>
          <w:spacing w:val="-4"/>
          <w:sz w:val="22"/>
          <w:szCs w:val="22"/>
        </w:rPr>
        <w:t xml:space="preserve">All the events are held in the fall to occur with the influenza vaccination season. That draws in the older adults and then </w:t>
      </w:r>
      <w:r w:rsidR="007C4E5C" w:rsidRPr="0073520F">
        <w:rPr>
          <w:spacing w:val="-4"/>
          <w:sz w:val="22"/>
          <w:szCs w:val="22"/>
        </w:rPr>
        <w:t xml:space="preserve">the </w:t>
      </w:r>
      <w:r w:rsidR="006E67A4" w:rsidRPr="0073520F">
        <w:rPr>
          <w:spacing w:val="-4"/>
          <w:sz w:val="22"/>
          <w:szCs w:val="22"/>
        </w:rPr>
        <w:t>sponsors</w:t>
      </w:r>
      <w:r w:rsidRPr="0073520F">
        <w:rPr>
          <w:spacing w:val="-4"/>
          <w:sz w:val="22"/>
          <w:szCs w:val="22"/>
        </w:rPr>
        <w:t xml:space="preserve"> can offer a bundled package of other clinical preventive services</w:t>
      </w:r>
      <w:r w:rsidR="007C4E5C" w:rsidRPr="0073520F">
        <w:rPr>
          <w:spacing w:val="-4"/>
          <w:sz w:val="22"/>
          <w:szCs w:val="22"/>
        </w:rPr>
        <w:t xml:space="preserve"> as well</w:t>
      </w:r>
      <w:r w:rsidRPr="0073520F">
        <w:rPr>
          <w:spacing w:val="-4"/>
          <w:sz w:val="22"/>
          <w:szCs w:val="22"/>
        </w:rPr>
        <w:t xml:space="preserve">, she </w:t>
      </w:r>
      <w:r w:rsidR="0073520F" w:rsidRPr="0073520F">
        <w:rPr>
          <w:spacing w:val="-4"/>
          <w:sz w:val="22"/>
          <w:szCs w:val="22"/>
        </w:rPr>
        <w:t>said</w:t>
      </w:r>
      <w:r w:rsidRPr="0073520F">
        <w:rPr>
          <w:spacing w:val="-2"/>
          <w:sz w:val="22"/>
          <w:szCs w:val="22"/>
        </w:rPr>
        <w:t>.</w:t>
      </w:r>
    </w:p>
    <w:p w:rsidR="00492997" w:rsidRDefault="00940053" w:rsidP="007D2F37">
      <w:pPr>
        <w:spacing w:line="480" w:lineRule="auto"/>
        <w:ind w:firstLine="360"/>
        <w:rPr>
          <w:sz w:val="22"/>
          <w:szCs w:val="22"/>
        </w:rPr>
      </w:pPr>
      <w:r>
        <w:rPr>
          <w:sz w:val="22"/>
          <w:szCs w:val="22"/>
        </w:rPr>
        <w:t>Berger said the SPARC program was a win-win for the community and older adults.</w:t>
      </w:r>
      <w:r w:rsidR="00492997">
        <w:rPr>
          <w:sz w:val="22"/>
          <w:szCs w:val="22"/>
        </w:rPr>
        <w:t xml:space="preserve"> </w:t>
      </w:r>
      <w:r>
        <w:rPr>
          <w:sz w:val="22"/>
          <w:szCs w:val="22"/>
        </w:rPr>
        <w:t xml:space="preserve">“It provides </w:t>
      </w:r>
      <w:r w:rsidRPr="00940053">
        <w:rPr>
          <w:sz w:val="22"/>
          <w:szCs w:val="22"/>
        </w:rPr>
        <w:t>a great opportunity for a community to strengthen collaborations among different agencies. They have really seen the value of that, instead of each agency trying t</w:t>
      </w:r>
      <w:r>
        <w:rPr>
          <w:sz w:val="22"/>
          <w:szCs w:val="22"/>
        </w:rPr>
        <w:t xml:space="preserve">o do </w:t>
      </w:r>
      <w:r w:rsidR="00AD7067">
        <w:rPr>
          <w:sz w:val="22"/>
          <w:szCs w:val="22"/>
        </w:rPr>
        <w:t>its</w:t>
      </w:r>
      <w:r>
        <w:rPr>
          <w:sz w:val="22"/>
          <w:szCs w:val="22"/>
        </w:rPr>
        <w:t xml:space="preserve"> own events,” Berger said. </w:t>
      </w:r>
      <w:r w:rsidRPr="00940053">
        <w:rPr>
          <w:sz w:val="22"/>
          <w:szCs w:val="22"/>
        </w:rPr>
        <w:t>“For older adults, it is a great opportunity to go to one place that provides easy</w:t>
      </w:r>
      <w:r>
        <w:rPr>
          <w:sz w:val="22"/>
          <w:szCs w:val="22"/>
        </w:rPr>
        <w:t xml:space="preserve"> access.” The SPARC program </w:t>
      </w:r>
      <w:r w:rsidRPr="00940053">
        <w:rPr>
          <w:sz w:val="22"/>
          <w:szCs w:val="22"/>
        </w:rPr>
        <w:t xml:space="preserve">focuses </w:t>
      </w:r>
      <w:r>
        <w:rPr>
          <w:sz w:val="22"/>
          <w:szCs w:val="22"/>
        </w:rPr>
        <w:t>older adults “</w:t>
      </w:r>
      <w:r w:rsidRPr="00940053">
        <w:rPr>
          <w:sz w:val="22"/>
          <w:szCs w:val="22"/>
        </w:rPr>
        <w:t>on all the preventive services and makes them aware that they have the responsibility to go and get the services</w:t>
      </w:r>
      <w:r>
        <w:rPr>
          <w:sz w:val="22"/>
          <w:szCs w:val="22"/>
        </w:rPr>
        <w:t xml:space="preserve">. This </w:t>
      </w:r>
      <w:r w:rsidRPr="00940053">
        <w:rPr>
          <w:sz w:val="22"/>
          <w:szCs w:val="22"/>
        </w:rPr>
        <w:t>is not just a flu shot</w:t>
      </w:r>
      <w:r>
        <w:rPr>
          <w:sz w:val="22"/>
          <w:szCs w:val="22"/>
        </w:rPr>
        <w:t>, but a range of preventive services offered</w:t>
      </w:r>
      <w:r w:rsidRPr="00940053">
        <w:rPr>
          <w:sz w:val="22"/>
          <w:szCs w:val="22"/>
        </w:rPr>
        <w:t xml:space="preserve">.” </w:t>
      </w:r>
      <w:r>
        <w:rPr>
          <w:sz w:val="22"/>
          <w:szCs w:val="22"/>
        </w:rPr>
        <w:t>The positive m</w:t>
      </w:r>
      <w:r w:rsidRPr="00940053">
        <w:rPr>
          <w:sz w:val="22"/>
          <w:szCs w:val="22"/>
        </w:rPr>
        <w:t xml:space="preserve">essage </w:t>
      </w:r>
      <w:r>
        <w:rPr>
          <w:sz w:val="22"/>
          <w:szCs w:val="22"/>
        </w:rPr>
        <w:t xml:space="preserve">to older adults </w:t>
      </w:r>
      <w:r w:rsidRPr="00940053">
        <w:rPr>
          <w:sz w:val="22"/>
          <w:szCs w:val="22"/>
        </w:rPr>
        <w:t xml:space="preserve">is: </w:t>
      </w:r>
      <w:r>
        <w:rPr>
          <w:sz w:val="22"/>
          <w:szCs w:val="22"/>
        </w:rPr>
        <w:t>“</w:t>
      </w:r>
      <w:r w:rsidRPr="00940053">
        <w:rPr>
          <w:sz w:val="22"/>
          <w:szCs w:val="22"/>
        </w:rPr>
        <w:t>Y</w:t>
      </w:r>
      <w:r w:rsidR="00492997">
        <w:rPr>
          <w:sz w:val="22"/>
          <w:szCs w:val="22"/>
        </w:rPr>
        <w:t>ou</w:t>
      </w:r>
      <w:r w:rsidRPr="00940053">
        <w:rPr>
          <w:sz w:val="22"/>
          <w:szCs w:val="22"/>
        </w:rPr>
        <w:t xml:space="preserve"> are </w:t>
      </w:r>
      <w:r w:rsidR="00492997">
        <w:rPr>
          <w:sz w:val="22"/>
          <w:szCs w:val="22"/>
        </w:rPr>
        <w:t>in charge.”</w:t>
      </w:r>
      <w:r w:rsidR="00492997" w:rsidRPr="00492997">
        <w:rPr>
          <w:sz w:val="22"/>
          <w:szCs w:val="22"/>
        </w:rPr>
        <w:t xml:space="preserve"> </w:t>
      </w:r>
    </w:p>
    <w:p w:rsidR="0003757F" w:rsidRPr="00FD59EE" w:rsidRDefault="0003757F" w:rsidP="007D2F37">
      <w:pPr>
        <w:keepNext/>
        <w:spacing w:line="480" w:lineRule="auto"/>
        <w:ind w:left="720" w:hanging="720"/>
        <w:rPr>
          <w:b/>
          <w:sz w:val="24"/>
          <w:szCs w:val="24"/>
        </w:rPr>
      </w:pPr>
      <w:r w:rsidRPr="00FD59EE">
        <w:rPr>
          <w:b/>
          <w:sz w:val="24"/>
          <w:szCs w:val="24"/>
        </w:rPr>
        <w:t xml:space="preserve">FUTURE DIRECTIONS </w:t>
      </w:r>
    </w:p>
    <w:p w:rsidR="00087AD0" w:rsidRPr="000D6F44" w:rsidRDefault="0003757F" w:rsidP="007D2F37">
      <w:pPr>
        <w:spacing w:line="480" w:lineRule="auto"/>
        <w:ind w:firstLine="360"/>
        <w:rPr>
          <w:sz w:val="22"/>
          <w:szCs w:val="22"/>
        </w:rPr>
      </w:pPr>
      <w:r w:rsidRPr="000D6F44">
        <w:rPr>
          <w:sz w:val="22"/>
          <w:szCs w:val="22"/>
        </w:rPr>
        <w:t xml:space="preserve">Solutions to </w:t>
      </w:r>
      <w:r w:rsidR="00321E94">
        <w:rPr>
          <w:sz w:val="22"/>
          <w:szCs w:val="22"/>
        </w:rPr>
        <w:t xml:space="preserve">increase the use of </w:t>
      </w:r>
      <w:r w:rsidRPr="000D6F44">
        <w:rPr>
          <w:sz w:val="22"/>
          <w:szCs w:val="22"/>
        </w:rPr>
        <w:t xml:space="preserve">preventive services </w:t>
      </w:r>
      <w:r w:rsidR="00321E94">
        <w:rPr>
          <w:sz w:val="22"/>
          <w:szCs w:val="22"/>
        </w:rPr>
        <w:t xml:space="preserve">by </w:t>
      </w:r>
      <w:r w:rsidRPr="000D6F44">
        <w:rPr>
          <w:sz w:val="22"/>
          <w:szCs w:val="22"/>
        </w:rPr>
        <w:t xml:space="preserve">older adults are varied and </w:t>
      </w:r>
      <w:r w:rsidR="000835B3" w:rsidRPr="000D6F44">
        <w:rPr>
          <w:sz w:val="22"/>
          <w:szCs w:val="22"/>
        </w:rPr>
        <w:t>multi</w:t>
      </w:r>
      <w:r w:rsidR="000835B3">
        <w:rPr>
          <w:sz w:val="22"/>
          <w:szCs w:val="22"/>
        </w:rPr>
        <w:t>-</w:t>
      </w:r>
      <w:r w:rsidR="000835B3" w:rsidRPr="000D6F44">
        <w:rPr>
          <w:sz w:val="22"/>
          <w:szCs w:val="22"/>
        </w:rPr>
        <w:t>factorial</w:t>
      </w:r>
      <w:r w:rsidRPr="000D6F44">
        <w:rPr>
          <w:sz w:val="22"/>
          <w:szCs w:val="22"/>
        </w:rPr>
        <w:t xml:space="preserve">. One approach would be to broaden the range of venues in which </w:t>
      </w:r>
      <w:r w:rsidR="00046B6A" w:rsidRPr="000D6F44">
        <w:rPr>
          <w:sz w:val="22"/>
          <w:szCs w:val="22"/>
        </w:rPr>
        <w:t>clinical preventive services</w:t>
      </w:r>
      <w:r w:rsidRPr="000D6F44">
        <w:rPr>
          <w:sz w:val="22"/>
          <w:szCs w:val="22"/>
        </w:rPr>
        <w:t xml:space="preserve"> can be provided, according to Dr. Shenson.</w:t>
      </w:r>
      <w:r w:rsidR="00DC003A">
        <w:rPr>
          <w:sz w:val="22"/>
          <w:szCs w:val="22"/>
        </w:rPr>
        <w:t xml:space="preserve"> Such venues as</w:t>
      </w:r>
      <w:r w:rsidR="00D623E7">
        <w:rPr>
          <w:sz w:val="22"/>
          <w:szCs w:val="22"/>
        </w:rPr>
        <w:t xml:space="preserve"> senior centers</w:t>
      </w:r>
      <w:r w:rsidR="00DC003A">
        <w:rPr>
          <w:sz w:val="22"/>
          <w:szCs w:val="22"/>
        </w:rPr>
        <w:t>, pharmacies</w:t>
      </w:r>
      <w:r w:rsidRPr="000D6F44">
        <w:rPr>
          <w:sz w:val="22"/>
          <w:szCs w:val="22"/>
        </w:rPr>
        <w:t xml:space="preserve"> and flu shot clinics</w:t>
      </w:r>
      <w:r w:rsidR="00DC003A">
        <w:rPr>
          <w:sz w:val="22"/>
          <w:szCs w:val="22"/>
        </w:rPr>
        <w:t xml:space="preserve"> </w:t>
      </w:r>
      <w:r w:rsidR="00DA51A7">
        <w:rPr>
          <w:sz w:val="22"/>
          <w:szCs w:val="22"/>
        </w:rPr>
        <w:t>can</w:t>
      </w:r>
      <w:r w:rsidRPr="000D6F44">
        <w:rPr>
          <w:sz w:val="22"/>
          <w:szCs w:val="22"/>
        </w:rPr>
        <w:t xml:space="preserve"> provide one-stop shopping (so</w:t>
      </w:r>
      <w:r w:rsidR="00DA51A7">
        <w:rPr>
          <w:sz w:val="22"/>
          <w:szCs w:val="22"/>
        </w:rPr>
        <w:t>, for example,</w:t>
      </w:r>
      <w:r w:rsidRPr="000D6F44">
        <w:rPr>
          <w:sz w:val="22"/>
          <w:szCs w:val="22"/>
        </w:rPr>
        <w:t xml:space="preserve"> while someone gets an influenza vaccination, they can also make an appointment for a mammogram</w:t>
      </w:r>
      <w:r w:rsidR="00B96FBA">
        <w:rPr>
          <w:sz w:val="22"/>
          <w:szCs w:val="22"/>
        </w:rPr>
        <w:t>)</w:t>
      </w:r>
      <w:r w:rsidRPr="000D6F44">
        <w:rPr>
          <w:sz w:val="22"/>
          <w:szCs w:val="22"/>
        </w:rPr>
        <w:t xml:space="preserve">. “There remains a lot of work to do to adjust our systems so that we can create community-based sites that are accessible to </w:t>
      </w:r>
      <w:r w:rsidR="00421C81">
        <w:rPr>
          <w:sz w:val="22"/>
          <w:szCs w:val="22"/>
        </w:rPr>
        <w:t xml:space="preserve">older adults </w:t>
      </w:r>
      <w:r w:rsidRPr="000D6F44">
        <w:rPr>
          <w:sz w:val="22"/>
          <w:szCs w:val="22"/>
        </w:rPr>
        <w:t>in the community,</w:t>
      </w:r>
      <w:r w:rsidR="006E67A4">
        <w:rPr>
          <w:sz w:val="22"/>
          <w:szCs w:val="22"/>
        </w:rPr>
        <w:t xml:space="preserve"> and</w:t>
      </w:r>
      <w:r w:rsidRPr="000D6F44">
        <w:rPr>
          <w:sz w:val="22"/>
          <w:szCs w:val="22"/>
        </w:rPr>
        <w:t xml:space="preserve"> that are acceptable to </w:t>
      </w:r>
      <w:r w:rsidR="00421C81">
        <w:rPr>
          <w:sz w:val="22"/>
          <w:szCs w:val="22"/>
        </w:rPr>
        <w:t>them</w:t>
      </w:r>
      <w:r w:rsidRPr="000D6F44">
        <w:rPr>
          <w:sz w:val="22"/>
          <w:szCs w:val="22"/>
        </w:rPr>
        <w:t>,” Dr. Shenson said.</w:t>
      </w:r>
      <w:r w:rsidR="00087AD0" w:rsidRPr="000D6F44">
        <w:rPr>
          <w:sz w:val="22"/>
          <w:szCs w:val="22"/>
        </w:rPr>
        <w:t xml:space="preserve"> </w:t>
      </w:r>
    </w:p>
    <w:p w:rsidR="00087AD0" w:rsidRDefault="0003757F" w:rsidP="007D2F37">
      <w:pPr>
        <w:spacing w:line="480" w:lineRule="auto"/>
        <w:ind w:firstLine="360"/>
        <w:rPr>
          <w:sz w:val="22"/>
          <w:szCs w:val="22"/>
        </w:rPr>
      </w:pPr>
      <w:r w:rsidRPr="000D6F44">
        <w:rPr>
          <w:sz w:val="22"/>
          <w:szCs w:val="22"/>
        </w:rPr>
        <w:lastRenderedPageBreak/>
        <w:t xml:space="preserve">At the same time, providers of </w:t>
      </w:r>
      <w:r w:rsidR="00046B6A" w:rsidRPr="000D6F44">
        <w:rPr>
          <w:sz w:val="22"/>
          <w:szCs w:val="22"/>
        </w:rPr>
        <w:t>clinical preventive services</w:t>
      </w:r>
      <w:r w:rsidRPr="000D6F44">
        <w:rPr>
          <w:sz w:val="22"/>
          <w:szCs w:val="22"/>
        </w:rPr>
        <w:t xml:space="preserve"> have to be able to protect the medical privacy of the client, link the information back to the patient’s medical home</w:t>
      </w:r>
      <w:r w:rsidR="00D623E7">
        <w:rPr>
          <w:sz w:val="22"/>
          <w:szCs w:val="22"/>
        </w:rPr>
        <w:t xml:space="preserve"> and</w:t>
      </w:r>
      <w:r w:rsidRPr="000D6F44">
        <w:rPr>
          <w:sz w:val="22"/>
          <w:szCs w:val="22"/>
        </w:rPr>
        <w:t xml:space="preserve"> have a system to refer patients to follow-up medical care (if warranted). Other factors include </w:t>
      </w:r>
      <w:r w:rsidR="00D623E7">
        <w:rPr>
          <w:sz w:val="22"/>
          <w:szCs w:val="22"/>
        </w:rPr>
        <w:t>en</w:t>
      </w:r>
      <w:r w:rsidRPr="000D6F44">
        <w:rPr>
          <w:sz w:val="22"/>
          <w:szCs w:val="22"/>
        </w:rPr>
        <w:t>suring quality assurance for the services delivered and protecting the provider from liability.</w:t>
      </w:r>
      <w:r w:rsidR="00087AD0" w:rsidRPr="000D6F44">
        <w:rPr>
          <w:sz w:val="22"/>
          <w:szCs w:val="22"/>
        </w:rPr>
        <w:t xml:space="preserve"> </w:t>
      </w:r>
    </w:p>
    <w:p w:rsidR="009275EF" w:rsidRPr="000D6F44" w:rsidRDefault="009275EF" w:rsidP="007D2F37">
      <w:pPr>
        <w:spacing w:line="480" w:lineRule="auto"/>
        <w:ind w:firstLine="360"/>
        <w:rPr>
          <w:sz w:val="22"/>
          <w:szCs w:val="22"/>
        </w:rPr>
      </w:pPr>
      <w:r w:rsidRPr="000D6F44">
        <w:rPr>
          <w:sz w:val="22"/>
          <w:szCs w:val="22"/>
        </w:rPr>
        <w:t>Some of the most successful programs are linked with community activities that people enjoy attending</w:t>
      </w:r>
      <w:r>
        <w:rPr>
          <w:sz w:val="22"/>
          <w:szCs w:val="22"/>
        </w:rPr>
        <w:t xml:space="preserve">, such as </w:t>
      </w:r>
      <w:r w:rsidRPr="000D6F44">
        <w:rPr>
          <w:sz w:val="22"/>
          <w:szCs w:val="22"/>
        </w:rPr>
        <w:t xml:space="preserve">a farmers’ market, where people are already focusing on purchasing fresh fruits and vegetables. </w:t>
      </w:r>
      <w:r>
        <w:rPr>
          <w:sz w:val="22"/>
          <w:szCs w:val="22"/>
        </w:rPr>
        <w:t>Other clinical preventive service events are located at senior centers, meal sites, senior housing and other places where older adults already congregate.</w:t>
      </w:r>
    </w:p>
    <w:p w:rsidR="004B1D74" w:rsidRPr="000D6F44" w:rsidRDefault="004B1D74" w:rsidP="007D2F37">
      <w:pPr>
        <w:spacing w:line="480" w:lineRule="auto"/>
        <w:ind w:firstLine="360"/>
        <w:rPr>
          <w:sz w:val="22"/>
          <w:szCs w:val="22"/>
        </w:rPr>
      </w:pPr>
      <w:r>
        <w:rPr>
          <w:sz w:val="22"/>
          <w:szCs w:val="22"/>
        </w:rPr>
        <w:t>Now that Medicare covers</w:t>
      </w:r>
      <w:r w:rsidRPr="000D6F44">
        <w:rPr>
          <w:sz w:val="22"/>
          <w:szCs w:val="22"/>
        </w:rPr>
        <w:t xml:space="preserve"> </w:t>
      </w:r>
      <w:r w:rsidR="008137E8">
        <w:rPr>
          <w:sz w:val="22"/>
          <w:szCs w:val="22"/>
        </w:rPr>
        <w:t xml:space="preserve">co-pays for most recommended </w:t>
      </w:r>
      <w:r w:rsidRPr="000D6F44">
        <w:rPr>
          <w:sz w:val="22"/>
          <w:szCs w:val="22"/>
        </w:rPr>
        <w:t>clinical preventive services</w:t>
      </w:r>
      <w:r>
        <w:rPr>
          <w:sz w:val="22"/>
          <w:szCs w:val="22"/>
        </w:rPr>
        <w:t xml:space="preserve">, </w:t>
      </w:r>
      <w:r w:rsidR="00321E94">
        <w:rPr>
          <w:sz w:val="22"/>
          <w:szCs w:val="22"/>
        </w:rPr>
        <w:t xml:space="preserve">thus removing </w:t>
      </w:r>
      <w:r w:rsidR="00180FF8">
        <w:rPr>
          <w:sz w:val="22"/>
          <w:szCs w:val="22"/>
        </w:rPr>
        <w:t xml:space="preserve">most </w:t>
      </w:r>
      <w:r w:rsidR="00321E94">
        <w:rPr>
          <w:sz w:val="22"/>
          <w:szCs w:val="22"/>
        </w:rPr>
        <w:t xml:space="preserve">financial barriers for beneficiaries, one challenge is to educate older adults on the value of preventive services and motivate them </w:t>
      </w:r>
      <w:r>
        <w:rPr>
          <w:sz w:val="22"/>
          <w:szCs w:val="22"/>
        </w:rPr>
        <w:t xml:space="preserve">to get the clinical preventive services they need. </w:t>
      </w:r>
      <w:r w:rsidRPr="000D6F44">
        <w:rPr>
          <w:sz w:val="22"/>
          <w:szCs w:val="22"/>
        </w:rPr>
        <w:t>To increase awareness about Medicare’s preventive benefits, CMS launched a “Share the News, Share the Health” campaign in the summer of 2011, with online advertisements and community events across the country. CMS also released a nationwide public service announcement</w:t>
      </w:r>
      <w:r w:rsidR="00182FCB">
        <w:rPr>
          <w:sz w:val="22"/>
          <w:szCs w:val="22"/>
        </w:rPr>
        <w:t xml:space="preserve"> that is available at</w:t>
      </w:r>
      <w:r w:rsidRPr="000D6F44">
        <w:rPr>
          <w:sz w:val="22"/>
          <w:szCs w:val="22"/>
        </w:rPr>
        <w:t xml:space="preserve"> www.youtube.com/CMSHHSgov. </w:t>
      </w:r>
    </w:p>
    <w:p w:rsidR="004B1D74" w:rsidRPr="000D6F44" w:rsidRDefault="004B1D74" w:rsidP="007D2F37">
      <w:pPr>
        <w:spacing w:line="480" w:lineRule="auto"/>
        <w:ind w:firstLine="360"/>
        <w:rPr>
          <w:sz w:val="22"/>
          <w:szCs w:val="22"/>
        </w:rPr>
      </w:pPr>
      <w:r w:rsidRPr="000D6F44">
        <w:rPr>
          <w:sz w:val="22"/>
          <w:szCs w:val="22"/>
        </w:rPr>
        <w:t>User-friendly information about prevention is available for Medicare beneficiaries and their caregivers at http://Medicare.gov/sharethehealth, and in Spanish at http://es.Medicare.gov/sharethehealth. In addition, Medicare’s website for caregiver</w:t>
      </w:r>
      <w:r w:rsidR="00D623E7">
        <w:rPr>
          <w:sz w:val="22"/>
          <w:szCs w:val="22"/>
        </w:rPr>
        <w:t>s</w:t>
      </w:r>
      <w:r w:rsidRPr="000D6F44">
        <w:rPr>
          <w:sz w:val="22"/>
          <w:szCs w:val="22"/>
        </w:rPr>
        <w:t xml:space="preserve"> (www.Medicare.gov/caregivers) has information on prevention services. </w:t>
      </w:r>
    </w:p>
    <w:p w:rsidR="004B1D74" w:rsidRDefault="004B1D74" w:rsidP="007D2F37">
      <w:pPr>
        <w:spacing w:line="480" w:lineRule="auto"/>
        <w:ind w:firstLine="360"/>
        <w:rPr>
          <w:sz w:val="22"/>
          <w:szCs w:val="22"/>
        </w:rPr>
      </w:pPr>
      <w:r>
        <w:rPr>
          <w:sz w:val="22"/>
          <w:szCs w:val="22"/>
        </w:rPr>
        <w:t xml:space="preserve">Medicare’s new </w:t>
      </w:r>
      <w:r w:rsidRPr="000D6F44">
        <w:rPr>
          <w:sz w:val="22"/>
          <w:szCs w:val="22"/>
        </w:rPr>
        <w:t>Annual Wellness Visit</w:t>
      </w:r>
      <w:r>
        <w:rPr>
          <w:sz w:val="22"/>
          <w:szCs w:val="22"/>
        </w:rPr>
        <w:t>, offered</w:t>
      </w:r>
      <w:r w:rsidRPr="000D6F44">
        <w:rPr>
          <w:sz w:val="22"/>
          <w:szCs w:val="22"/>
        </w:rPr>
        <w:t xml:space="preserve"> at no cost to beneficiaries</w:t>
      </w:r>
      <w:r>
        <w:rPr>
          <w:sz w:val="22"/>
          <w:szCs w:val="22"/>
        </w:rPr>
        <w:t xml:space="preserve">, </w:t>
      </w:r>
      <w:r w:rsidR="00C43631">
        <w:rPr>
          <w:sz w:val="22"/>
          <w:szCs w:val="22"/>
        </w:rPr>
        <w:t xml:space="preserve">now provides a focused opportunity </w:t>
      </w:r>
      <w:r w:rsidRPr="000D6F44">
        <w:rPr>
          <w:sz w:val="22"/>
          <w:szCs w:val="22"/>
        </w:rPr>
        <w:t>for the patient and physician to discuss ways to prevent disease</w:t>
      </w:r>
      <w:r w:rsidR="00DE515A">
        <w:rPr>
          <w:sz w:val="22"/>
          <w:szCs w:val="22"/>
        </w:rPr>
        <w:t>,</w:t>
      </w:r>
      <w:r w:rsidR="00182FCB">
        <w:rPr>
          <w:sz w:val="22"/>
          <w:szCs w:val="22"/>
        </w:rPr>
        <w:t xml:space="preserve"> and</w:t>
      </w:r>
      <w:r w:rsidR="00DE515A">
        <w:rPr>
          <w:sz w:val="22"/>
          <w:szCs w:val="22"/>
        </w:rPr>
        <w:t xml:space="preserve"> recommended preventive services and how to access them.</w:t>
      </w:r>
      <w:r w:rsidRPr="000D6F44">
        <w:rPr>
          <w:sz w:val="22"/>
          <w:szCs w:val="22"/>
        </w:rPr>
        <w:t xml:space="preserve"> </w:t>
      </w:r>
    </w:p>
    <w:p w:rsidR="00A24449" w:rsidRPr="00A24449" w:rsidRDefault="00A24449" w:rsidP="007D2F37">
      <w:pPr>
        <w:spacing w:line="480" w:lineRule="auto"/>
        <w:ind w:firstLine="360"/>
        <w:rPr>
          <w:sz w:val="22"/>
          <w:szCs w:val="22"/>
        </w:rPr>
      </w:pPr>
      <w:r w:rsidRPr="00A24449">
        <w:rPr>
          <w:sz w:val="22"/>
          <w:szCs w:val="22"/>
        </w:rPr>
        <w:t>Reducing the cost burden of recommended clinical preventive services for adults not yet eligible for Medicare is also a priority. Starting in 2010, all new individual and group insurance plans were required to offer these services with no deductible or co-payment.</w:t>
      </w:r>
    </w:p>
    <w:p w:rsidR="00A24449" w:rsidRPr="00A24449" w:rsidRDefault="00A24449" w:rsidP="007D2F37">
      <w:pPr>
        <w:spacing w:line="480" w:lineRule="auto"/>
        <w:ind w:firstLine="360"/>
        <w:rPr>
          <w:sz w:val="22"/>
          <w:szCs w:val="22"/>
        </w:rPr>
      </w:pPr>
      <w:r w:rsidRPr="00A24449">
        <w:rPr>
          <w:sz w:val="22"/>
          <w:szCs w:val="22"/>
        </w:rPr>
        <w:lastRenderedPageBreak/>
        <w:t xml:space="preserve">The Guide to Community Preventive Services </w:t>
      </w:r>
      <w:r w:rsidR="008517E6">
        <w:rPr>
          <w:sz w:val="22"/>
          <w:szCs w:val="22"/>
        </w:rPr>
        <w:t xml:space="preserve">indicates </w:t>
      </w:r>
      <w:r w:rsidRPr="00A24449">
        <w:rPr>
          <w:sz w:val="22"/>
          <w:szCs w:val="22"/>
        </w:rPr>
        <w:t>strong evidence of effectiveness in increasing the use of targeted vaccines for measures such as provider reminders. Such reminders to providers or other appropriate staff can alert them when patients are due for vaccinations, particularly those who are at high risk. Reminder techniques include notations in patients’ charts, standardized checklists generated by clinical staff, or computer databases or registries.</w:t>
      </w:r>
    </w:p>
    <w:p w:rsidR="00A24449" w:rsidRDefault="00A24449" w:rsidP="007D2F37">
      <w:pPr>
        <w:spacing w:line="480" w:lineRule="auto"/>
        <w:ind w:firstLine="360"/>
        <w:rPr>
          <w:sz w:val="22"/>
          <w:szCs w:val="22"/>
        </w:rPr>
      </w:pPr>
      <w:r w:rsidRPr="00A24449">
        <w:rPr>
          <w:sz w:val="22"/>
          <w:szCs w:val="22"/>
        </w:rPr>
        <w:t>Another strategy that receives a “strong evidence of effectiveness” rating from The Guide to Community Preventive Services is increasing targeted vaccine coverage through multiple interventions implemented in combination. For example, reducing patient out-of-pocket costs in combination with the use of standing orders has been shown to be effective in increasing vaccine rates. Physicians can issue “standing orders” for patients to receive an immunization (or screening) from a non-physician when the patient is in the office – without requiring an exam or new physician order.</w:t>
      </w:r>
    </w:p>
    <w:p w:rsidR="00FE7B4D" w:rsidRDefault="00FE7B4D" w:rsidP="007D2F37">
      <w:pPr>
        <w:spacing w:line="480" w:lineRule="auto"/>
        <w:ind w:firstLine="360"/>
        <w:rPr>
          <w:sz w:val="22"/>
          <w:szCs w:val="22"/>
        </w:rPr>
      </w:pPr>
      <w:r>
        <w:rPr>
          <w:sz w:val="22"/>
          <w:szCs w:val="22"/>
        </w:rPr>
        <w:t>For breast, cervical, and colorectal screening, among the interventions that The Guide to Community Preventive Services indicates are effective in informing and motivating peo</w:t>
      </w:r>
      <w:r w:rsidR="008517E6">
        <w:rPr>
          <w:sz w:val="22"/>
          <w:szCs w:val="22"/>
        </w:rPr>
        <w:t xml:space="preserve">ple to be screened for cancer </w:t>
      </w:r>
      <w:r>
        <w:rPr>
          <w:sz w:val="22"/>
          <w:szCs w:val="22"/>
        </w:rPr>
        <w:t>is small media</w:t>
      </w:r>
      <w:r w:rsidR="008517E6">
        <w:rPr>
          <w:sz w:val="22"/>
          <w:szCs w:val="22"/>
        </w:rPr>
        <w:t>,</w:t>
      </w:r>
      <w:r>
        <w:rPr>
          <w:sz w:val="22"/>
          <w:szCs w:val="22"/>
        </w:rPr>
        <w:t xml:space="preserve"> including videos and printed materials such as letter, brochures, and newsletters</w:t>
      </w:r>
      <w:r w:rsidR="008517E6">
        <w:rPr>
          <w:sz w:val="22"/>
          <w:szCs w:val="22"/>
        </w:rPr>
        <w:t>. The Guide also recommends the use of client reminders to increase screening for breast and cervical cancers and to increase colorectal cancer screening with fecal occult blood testing, among others.</w:t>
      </w:r>
    </w:p>
    <w:p w:rsidR="0003757F" w:rsidRPr="000D6F44" w:rsidRDefault="0003757F" w:rsidP="007D2F37">
      <w:pPr>
        <w:spacing w:line="480" w:lineRule="auto"/>
        <w:ind w:firstLine="360"/>
        <w:rPr>
          <w:sz w:val="22"/>
          <w:szCs w:val="22"/>
        </w:rPr>
      </w:pPr>
      <w:r w:rsidRPr="000D6F44">
        <w:rPr>
          <w:sz w:val="22"/>
          <w:szCs w:val="22"/>
        </w:rPr>
        <w:t xml:space="preserve">Health care organizations can link with transportation and </w:t>
      </w:r>
      <w:proofErr w:type="spellStart"/>
      <w:r w:rsidRPr="000D6F44">
        <w:rPr>
          <w:sz w:val="22"/>
          <w:szCs w:val="22"/>
        </w:rPr>
        <w:t>para</w:t>
      </w:r>
      <w:proofErr w:type="spellEnd"/>
      <w:r w:rsidRPr="000D6F44">
        <w:rPr>
          <w:sz w:val="22"/>
          <w:szCs w:val="22"/>
        </w:rPr>
        <w:t>-transit providers, caregivers and employers to reach older adults who need to obtain clinical preventive services. Offering flexible hours, evenings and weekends can also encourage more</w:t>
      </w:r>
      <w:r w:rsidR="00180FF8">
        <w:rPr>
          <w:sz w:val="22"/>
          <w:szCs w:val="22"/>
        </w:rPr>
        <w:t xml:space="preserve"> </w:t>
      </w:r>
      <w:r w:rsidRPr="000D6F44">
        <w:rPr>
          <w:sz w:val="22"/>
          <w:szCs w:val="22"/>
        </w:rPr>
        <w:t>older adults to participate, along with offering some services in other settings, such as offices, malls, voting sites, senior centers, beauty salons, etc.</w:t>
      </w:r>
    </w:p>
    <w:p w:rsidR="00087AD0" w:rsidRDefault="0003757F" w:rsidP="00293724">
      <w:pPr>
        <w:ind w:firstLine="360"/>
        <w:rPr>
          <w:sz w:val="22"/>
          <w:szCs w:val="22"/>
        </w:rPr>
      </w:pPr>
      <w:r w:rsidRPr="000D6F44">
        <w:rPr>
          <w:sz w:val="22"/>
          <w:szCs w:val="22"/>
        </w:rPr>
        <w:t xml:space="preserve">Public </w:t>
      </w:r>
      <w:r w:rsidR="00A131D4">
        <w:rPr>
          <w:sz w:val="22"/>
          <w:szCs w:val="22"/>
        </w:rPr>
        <w:t xml:space="preserve">strategies and </w:t>
      </w:r>
      <w:r w:rsidRPr="000D6F44">
        <w:rPr>
          <w:sz w:val="22"/>
          <w:szCs w:val="22"/>
        </w:rPr>
        <w:t>policy options include:</w:t>
      </w:r>
      <w:r w:rsidR="00087AD0" w:rsidRPr="000D6F44">
        <w:rPr>
          <w:sz w:val="22"/>
          <w:szCs w:val="22"/>
        </w:rPr>
        <w:t xml:space="preserve"> </w:t>
      </w:r>
    </w:p>
    <w:p w:rsidR="0073520F" w:rsidRPr="000D6F44" w:rsidRDefault="0073520F" w:rsidP="00293724">
      <w:pPr>
        <w:ind w:firstLine="360"/>
        <w:rPr>
          <w:sz w:val="22"/>
          <w:szCs w:val="22"/>
        </w:rPr>
      </w:pPr>
    </w:p>
    <w:p w:rsidR="0003757F" w:rsidRPr="000D6F44" w:rsidRDefault="0003757F" w:rsidP="00293724">
      <w:pPr>
        <w:numPr>
          <w:ilvl w:val="0"/>
          <w:numId w:val="6"/>
        </w:numPr>
        <w:rPr>
          <w:sz w:val="22"/>
          <w:szCs w:val="22"/>
        </w:rPr>
      </w:pPr>
      <w:r w:rsidRPr="000D6F44">
        <w:rPr>
          <w:sz w:val="22"/>
          <w:szCs w:val="22"/>
        </w:rPr>
        <w:t xml:space="preserve">Increasing public awareness of preventive services through a national public-private partnership (such as the Education and Outreach Campaign authorized by the Patient Protection and Affordable Care Act). </w:t>
      </w:r>
    </w:p>
    <w:p w:rsidR="0003757F" w:rsidRPr="000D6F44" w:rsidRDefault="0003757F" w:rsidP="00293724">
      <w:pPr>
        <w:numPr>
          <w:ilvl w:val="0"/>
          <w:numId w:val="6"/>
        </w:numPr>
        <w:rPr>
          <w:sz w:val="22"/>
          <w:szCs w:val="22"/>
        </w:rPr>
      </w:pPr>
      <w:r w:rsidRPr="000D6F44">
        <w:rPr>
          <w:sz w:val="22"/>
          <w:szCs w:val="22"/>
        </w:rPr>
        <w:t>Encouraging the public health and aging services network</w:t>
      </w:r>
      <w:r w:rsidR="00522381">
        <w:rPr>
          <w:sz w:val="22"/>
          <w:szCs w:val="22"/>
        </w:rPr>
        <w:t>s</w:t>
      </w:r>
      <w:r w:rsidRPr="000D6F44">
        <w:rPr>
          <w:sz w:val="22"/>
          <w:szCs w:val="22"/>
        </w:rPr>
        <w:t xml:space="preserve"> to work together to reach older adults with preventive services, </w:t>
      </w:r>
      <w:r w:rsidR="00252C8F">
        <w:rPr>
          <w:sz w:val="22"/>
          <w:szCs w:val="22"/>
        </w:rPr>
        <w:t xml:space="preserve">including those funded through the </w:t>
      </w:r>
      <w:r w:rsidRPr="000D6F44">
        <w:rPr>
          <w:sz w:val="22"/>
          <w:szCs w:val="22"/>
        </w:rPr>
        <w:t>Older Americans Act</w:t>
      </w:r>
      <w:r w:rsidR="00252C8F">
        <w:rPr>
          <w:sz w:val="22"/>
          <w:szCs w:val="22"/>
        </w:rPr>
        <w:t xml:space="preserve"> at </w:t>
      </w:r>
      <w:r w:rsidRPr="000D6F44">
        <w:rPr>
          <w:sz w:val="22"/>
          <w:szCs w:val="22"/>
        </w:rPr>
        <w:t>congregate meal sites, senior centers, etc.</w:t>
      </w:r>
    </w:p>
    <w:p w:rsidR="0003757F" w:rsidRPr="000D6F44" w:rsidRDefault="0003757F" w:rsidP="00293724">
      <w:pPr>
        <w:numPr>
          <w:ilvl w:val="0"/>
          <w:numId w:val="6"/>
        </w:numPr>
        <w:rPr>
          <w:sz w:val="22"/>
          <w:szCs w:val="22"/>
        </w:rPr>
      </w:pPr>
      <w:r w:rsidRPr="000D6F44">
        <w:rPr>
          <w:sz w:val="22"/>
          <w:szCs w:val="22"/>
        </w:rPr>
        <w:t>Eliminating cost-sharing for the most important clinical preventive services</w:t>
      </w:r>
      <w:r w:rsidR="00AD385F">
        <w:rPr>
          <w:sz w:val="22"/>
          <w:szCs w:val="22"/>
        </w:rPr>
        <w:t xml:space="preserve"> for adults ages 50-6</w:t>
      </w:r>
      <w:r w:rsidR="004B1D74">
        <w:rPr>
          <w:sz w:val="22"/>
          <w:szCs w:val="22"/>
        </w:rPr>
        <w:t>4</w:t>
      </w:r>
      <w:r w:rsidRPr="000D6F44">
        <w:rPr>
          <w:sz w:val="22"/>
          <w:szCs w:val="22"/>
        </w:rPr>
        <w:t>. (</w:t>
      </w:r>
      <w:r w:rsidRPr="004B1D74">
        <w:rPr>
          <w:sz w:val="22"/>
          <w:szCs w:val="22"/>
        </w:rPr>
        <w:t xml:space="preserve">Medicare </w:t>
      </w:r>
      <w:r w:rsidRPr="000D6F44">
        <w:rPr>
          <w:sz w:val="22"/>
          <w:szCs w:val="22"/>
        </w:rPr>
        <w:t>already does this.)</w:t>
      </w:r>
    </w:p>
    <w:p w:rsidR="0003757F" w:rsidRPr="000D6F44" w:rsidRDefault="0003757F" w:rsidP="00293724">
      <w:pPr>
        <w:numPr>
          <w:ilvl w:val="0"/>
          <w:numId w:val="6"/>
        </w:numPr>
        <w:rPr>
          <w:sz w:val="22"/>
          <w:szCs w:val="22"/>
        </w:rPr>
      </w:pPr>
      <w:r w:rsidRPr="000D6F44">
        <w:rPr>
          <w:sz w:val="22"/>
          <w:szCs w:val="22"/>
        </w:rPr>
        <w:lastRenderedPageBreak/>
        <w:t>Giving employers incentives to provide preventive services onsite or provide paid time off to obtain services.</w:t>
      </w:r>
    </w:p>
    <w:p w:rsidR="0003757F" w:rsidRPr="000D6F44" w:rsidRDefault="0003757F" w:rsidP="00293724">
      <w:pPr>
        <w:numPr>
          <w:ilvl w:val="0"/>
          <w:numId w:val="6"/>
        </w:numPr>
        <w:rPr>
          <w:sz w:val="22"/>
          <w:szCs w:val="22"/>
        </w:rPr>
      </w:pPr>
      <w:r w:rsidRPr="000D6F44">
        <w:rPr>
          <w:sz w:val="22"/>
          <w:szCs w:val="22"/>
        </w:rPr>
        <w:t>Amending laws to allow appropriate allied health professionals to provide certain screenings, preventive services and counseling for older adults.</w:t>
      </w:r>
    </w:p>
    <w:p w:rsidR="0003757F" w:rsidRPr="000D6F44" w:rsidRDefault="0003757F" w:rsidP="00293724">
      <w:pPr>
        <w:numPr>
          <w:ilvl w:val="0"/>
          <w:numId w:val="6"/>
        </w:numPr>
        <w:rPr>
          <w:sz w:val="22"/>
          <w:szCs w:val="22"/>
        </w:rPr>
      </w:pPr>
      <w:r w:rsidRPr="000D6F44">
        <w:rPr>
          <w:sz w:val="22"/>
          <w:szCs w:val="22"/>
        </w:rPr>
        <w:t>Strengthening the capacity of health departments and Ind</w:t>
      </w:r>
      <w:r w:rsidR="004B1D74">
        <w:rPr>
          <w:sz w:val="22"/>
          <w:szCs w:val="22"/>
        </w:rPr>
        <w:t xml:space="preserve">ian tribes to provide clinical </w:t>
      </w:r>
      <w:r w:rsidRPr="000D6F44">
        <w:rPr>
          <w:sz w:val="22"/>
          <w:szCs w:val="22"/>
        </w:rPr>
        <w:t>preventive services.</w:t>
      </w:r>
    </w:p>
    <w:p w:rsidR="00E47263" w:rsidRPr="000D6F44" w:rsidRDefault="00802574" w:rsidP="00293724">
      <w:pPr>
        <w:numPr>
          <w:ilvl w:val="0"/>
          <w:numId w:val="6"/>
        </w:numPr>
        <w:rPr>
          <w:sz w:val="22"/>
          <w:szCs w:val="22"/>
        </w:rPr>
      </w:pPr>
      <w:r>
        <w:rPr>
          <w:sz w:val="22"/>
          <w:szCs w:val="22"/>
        </w:rPr>
        <w:t xml:space="preserve">Holding providers accountable </w:t>
      </w:r>
      <w:r w:rsidR="009A3D7C" w:rsidRPr="000D6F44">
        <w:rPr>
          <w:sz w:val="22"/>
          <w:szCs w:val="22"/>
        </w:rPr>
        <w:t>for key services</w:t>
      </w:r>
      <w:r>
        <w:rPr>
          <w:sz w:val="22"/>
          <w:szCs w:val="22"/>
        </w:rPr>
        <w:t>. (Some managed care organizations are now doing this.)</w:t>
      </w:r>
    </w:p>
    <w:p w:rsidR="00293724" w:rsidRDefault="00293724" w:rsidP="00BD1CAC">
      <w:pPr>
        <w:rPr>
          <w:i/>
          <w:sz w:val="22"/>
          <w:szCs w:val="22"/>
        </w:rPr>
      </w:pPr>
    </w:p>
    <w:p w:rsidR="0003757F" w:rsidRPr="000D6F44" w:rsidRDefault="0003757F" w:rsidP="00BD1CAC">
      <w:pPr>
        <w:rPr>
          <w:i/>
          <w:sz w:val="22"/>
          <w:szCs w:val="22"/>
        </w:rPr>
      </w:pPr>
      <w:r w:rsidRPr="000D6F44">
        <w:rPr>
          <w:i/>
          <w:sz w:val="22"/>
          <w:szCs w:val="22"/>
        </w:rPr>
        <w:tab/>
        <w:t xml:space="preserve">This document is available online at www.chronicdisease.org. It was written by Nancy Aldrich. William F. Benson was senior editor and project manager. </w:t>
      </w:r>
      <w:r w:rsidR="000B5ABF">
        <w:rPr>
          <w:i/>
          <w:sz w:val="22"/>
          <w:szCs w:val="22"/>
        </w:rPr>
        <w:t>This brief should be cited as follows:</w:t>
      </w:r>
    </w:p>
    <w:p w:rsidR="000B5ABF" w:rsidRPr="000B5ABF" w:rsidRDefault="000B5ABF" w:rsidP="00BD1CAC">
      <w:pPr>
        <w:rPr>
          <w:i/>
          <w:sz w:val="22"/>
          <w:szCs w:val="22"/>
        </w:rPr>
      </w:pPr>
      <w:r w:rsidRPr="000B5ABF">
        <w:rPr>
          <w:sz w:val="22"/>
          <w:szCs w:val="22"/>
        </w:rPr>
        <w:t xml:space="preserve">Benson WF and Aldrich N, </w:t>
      </w:r>
      <w:r w:rsidRPr="000B5ABF">
        <w:rPr>
          <w:i/>
          <w:sz w:val="22"/>
          <w:szCs w:val="22"/>
        </w:rPr>
        <w:t xml:space="preserve">CDC </w:t>
      </w:r>
      <w:r>
        <w:rPr>
          <w:i/>
          <w:sz w:val="22"/>
          <w:szCs w:val="22"/>
        </w:rPr>
        <w:t>Focuses on Need for Older Adults to Receive Clinical Preventive Services</w:t>
      </w:r>
      <w:r w:rsidRPr="000B5ABF">
        <w:rPr>
          <w:sz w:val="22"/>
          <w:szCs w:val="22"/>
        </w:rPr>
        <w:t>, Critical Issue Brief, Centers for Dise</w:t>
      </w:r>
      <w:r>
        <w:rPr>
          <w:sz w:val="22"/>
          <w:szCs w:val="22"/>
        </w:rPr>
        <w:t>ase Control and Prevention, 2011</w:t>
      </w:r>
      <w:r w:rsidRPr="000B5ABF">
        <w:rPr>
          <w:sz w:val="22"/>
          <w:szCs w:val="22"/>
        </w:rPr>
        <w:t xml:space="preserve">, </w:t>
      </w:r>
      <w:r w:rsidR="00F375D1" w:rsidRPr="00F375D1">
        <w:rPr>
          <w:sz w:val="22"/>
          <w:szCs w:val="22"/>
        </w:rPr>
        <w:t>http://www.chronicdisease.org/nacdd-initiatives/healthy-aging/meeting-records</w:t>
      </w:r>
      <w:r w:rsidR="00F375D1">
        <w:rPr>
          <w:sz w:val="22"/>
          <w:szCs w:val="22"/>
        </w:rPr>
        <w:t>.</w:t>
      </w:r>
    </w:p>
    <w:p w:rsidR="0003757F" w:rsidRPr="001F5C9F" w:rsidRDefault="0003757F" w:rsidP="007D2F37">
      <w:pPr>
        <w:spacing w:line="480" w:lineRule="auto"/>
        <w:rPr>
          <w:sz w:val="22"/>
          <w:szCs w:val="22"/>
        </w:rPr>
      </w:pPr>
    </w:p>
    <w:p w:rsidR="0003757F" w:rsidRPr="000D6F44" w:rsidRDefault="0003757F" w:rsidP="007D2F37">
      <w:pPr>
        <w:keepNext/>
        <w:spacing w:line="480" w:lineRule="auto"/>
        <w:ind w:left="720" w:hanging="720"/>
        <w:jc w:val="center"/>
        <w:rPr>
          <w:b/>
          <w:sz w:val="22"/>
          <w:szCs w:val="22"/>
        </w:rPr>
      </w:pPr>
      <w:r w:rsidRPr="000D6F44">
        <w:rPr>
          <w:b/>
          <w:sz w:val="22"/>
          <w:szCs w:val="22"/>
        </w:rPr>
        <w:t>STORY IDEAS FOR JOURNALISTS</w:t>
      </w:r>
    </w:p>
    <w:p w:rsidR="00AC2E28" w:rsidRPr="000D6F44" w:rsidRDefault="00677501" w:rsidP="00BD1CAC">
      <w:pPr>
        <w:numPr>
          <w:ilvl w:val="0"/>
          <w:numId w:val="2"/>
        </w:numPr>
        <w:rPr>
          <w:sz w:val="22"/>
          <w:szCs w:val="22"/>
        </w:rPr>
      </w:pPr>
      <w:r w:rsidRPr="000D6F44">
        <w:rPr>
          <w:sz w:val="22"/>
          <w:szCs w:val="22"/>
        </w:rPr>
        <w:t>Help your readers understand why they should receive clinical preventive services and</w:t>
      </w:r>
      <w:r w:rsidR="00347CA4">
        <w:rPr>
          <w:sz w:val="22"/>
          <w:szCs w:val="22"/>
        </w:rPr>
        <w:t xml:space="preserve"> should</w:t>
      </w:r>
      <w:r w:rsidRPr="000D6F44">
        <w:rPr>
          <w:sz w:val="22"/>
          <w:szCs w:val="22"/>
        </w:rPr>
        <w:t xml:space="preserve"> ask their physicians how to obtain them.</w:t>
      </w:r>
      <w:r w:rsidR="00AC2E28">
        <w:rPr>
          <w:sz w:val="22"/>
          <w:szCs w:val="22"/>
        </w:rPr>
        <w:t xml:space="preserve"> </w:t>
      </w:r>
      <w:r w:rsidR="0019121C">
        <w:rPr>
          <w:sz w:val="22"/>
          <w:szCs w:val="22"/>
        </w:rPr>
        <w:t xml:space="preserve">For </w:t>
      </w:r>
      <w:r w:rsidR="00AC2E28" w:rsidRPr="00AC2E28">
        <w:rPr>
          <w:sz w:val="22"/>
          <w:szCs w:val="22"/>
        </w:rPr>
        <w:t>state-by-state information on utilization of free preventive services and the Annual Wellness Visit</w:t>
      </w:r>
      <w:r w:rsidR="00AC2E28">
        <w:rPr>
          <w:sz w:val="22"/>
          <w:szCs w:val="22"/>
        </w:rPr>
        <w:t xml:space="preserve"> under the Medicare program</w:t>
      </w:r>
      <w:r w:rsidR="00AC2E28" w:rsidRPr="00AC2E28">
        <w:rPr>
          <w:sz w:val="22"/>
          <w:szCs w:val="22"/>
        </w:rPr>
        <w:t>, go to: www.cms.gov/NewMedia/02_preventive.asp</w:t>
      </w:r>
      <w:r w:rsidR="00AC2E28">
        <w:rPr>
          <w:sz w:val="22"/>
          <w:szCs w:val="22"/>
        </w:rPr>
        <w:t>.</w:t>
      </w:r>
    </w:p>
    <w:p w:rsidR="00633D99" w:rsidRPr="000D6F44" w:rsidRDefault="00633D99" w:rsidP="00BD1CAC">
      <w:pPr>
        <w:pStyle w:val="NoSpacing"/>
        <w:numPr>
          <w:ilvl w:val="0"/>
          <w:numId w:val="2"/>
        </w:numPr>
        <w:rPr>
          <w:rFonts w:ascii="Times New Roman" w:hAnsi="Times New Roman" w:cs="Times New Roman"/>
        </w:rPr>
      </w:pPr>
      <w:r w:rsidRPr="00AC2E28">
        <w:rPr>
          <w:rFonts w:ascii="Times New Roman" w:hAnsi="Times New Roman" w:cs="Times New Roman"/>
        </w:rPr>
        <w:t>Obtain clinical preventive services yourself and describe the experience to your readers.</w:t>
      </w:r>
    </w:p>
    <w:p w:rsidR="000D6F44" w:rsidRPr="000D6F44" w:rsidRDefault="000D6F44" w:rsidP="00BD1CAC">
      <w:pPr>
        <w:pStyle w:val="NoSpacing"/>
        <w:numPr>
          <w:ilvl w:val="0"/>
          <w:numId w:val="2"/>
        </w:numPr>
        <w:rPr>
          <w:rFonts w:ascii="Times New Roman" w:hAnsi="Times New Roman" w:cs="Times New Roman"/>
        </w:rPr>
      </w:pPr>
      <w:r w:rsidRPr="000D6F44">
        <w:rPr>
          <w:rFonts w:ascii="Times New Roman" w:hAnsi="Times New Roman" w:cs="Times New Roman"/>
        </w:rPr>
        <w:t xml:space="preserve">Interview an older adult with advanced disease, such as cancer, who did not receive preventive screening that might have caught the disease earlier. Explain that screening can prevent disease or </w:t>
      </w:r>
      <w:r w:rsidR="00B405F3">
        <w:rPr>
          <w:rFonts w:ascii="Times New Roman" w:hAnsi="Times New Roman" w:cs="Times New Roman"/>
        </w:rPr>
        <w:t>mitigate its impact.</w:t>
      </w:r>
      <w:r w:rsidRPr="000D6F44">
        <w:rPr>
          <w:rFonts w:ascii="Times New Roman" w:hAnsi="Times New Roman" w:cs="Times New Roman"/>
        </w:rPr>
        <w:t xml:space="preserve"> </w:t>
      </w:r>
    </w:p>
    <w:p w:rsidR="00E47263" w:rsidRPr="000D6F44" w:rsidRDefault="0003757F" w:rsidP="00BD1CAC">
      <w:pPr>
        <w:numPr>
          <w:ilvl w:val="0"/>
          <w:numId w:val="2"/>
        </w:numPr>
        <w:rPr>
          <w:sz w:val="22"/>
          <w:szCs w:val="22"/>
        </w:rPr>
      </w:pPr>
      <w:r w:rsidRPr="000D6F44">
        <w:rPr>
          <w:sz w:val="22"/>
          <w:szCs w:val="22"/>
        </w:rPr>
        <w:t xml:space="preserve">Use the </w:t>
      </w:r>
      <w:r w:rsidR="00EA6BB2">
        <w:rPr>
          <w:sz w:val="22"/>
          <w:szCs w:val="22"/>
        </w:rPr>
        <w:t xml:space="preserve">CDC </w:t>
      </w:r>
      <w:r w:rsidRPr="000D6F44">
        <w:rPr>
          <w:sz w:val="22"/>
          <w:szCs w:val="22"/>
        </w:rPr>
        <w:t xml:space="preserve">interactive guide to </w:t>
      </w:r>
      <w:r w:rsidR="00677501" w:rsidRPr="000D6F44">
        <w:rPr>
          <w:sz w:val="22"/>
          <w:szCs w:val="22"/>
        </w:rPr>
        <w:t>i</w:t>
      </w:r>
      <w:r w:rsidR="00677501" w:rsidRPr="000D6F44">
        <w:rPr>
          <w:color w:val="000000"/>
          <w:sz w:val="22"/>
          <w:szCs w:val="22"/>
        </w:rPr>
        <w:t xml:space="preserve">dentify preventive services data for your state and tell your readers how it </w:t>
      </w:r>
      <w:r w:rsidR="00677501" w:rsidRPr="000D6F44">
        <w:rPr>
          <w:sz w:val="22"/>
          <w:szCs w:val="22"/>
        </w:rPr>
        <w:t xml:space="preserve">compares to similarly sized or geographically located states (go to </w:t>
      </w:r>
      <w:r w:rsidR="00677501" w:rsidRPr="00AD385F">
        <w:rPr>
          <w:sz w:val="22"/>
          <w:szCs w:val="22"/>
        </w:rPr>
        <w:t>http://apps.nccd.cdc.gov/DACH_PPS/Default/Default.aspx</w:t>
      </w:r>
      <w:r w:rsidR="00677501" w:rsidRPr="000D6F44">
        <w:rPr>
          <w:sz w:val="22"/>
          <w:szCs w:val="22"/>
        </w:rPr>
        <w:t xml:space="preserve"> or </w:t>
      </w:r>
      <w:r w:rsidR="006A731F" w:rsidRPr="000D6F44">
        <w:rPr>
          <w:color w:val="000000"/>
          <w:sz w:val="22"/>
          <w:szCs w:val="22"/>
        </w:rPr>
        <w:t>“</w:t>
      </w:r>
      <w:r w:rsidR="006A731F" w:rsidRPr="000D6F44">
        <w:rPr>
          <w:rStyle w:val="tp-label"/>
          <w:color w:val="000000"/>
          <w:sz w:val="22"/>
          <w:szCs w:val="22"/>
        </w:rPr>
        <w:t>State-by-State Percentages for Key Indicators”</w:t>
      </w:r>
      <w:r w:rsidR="00AD385F">
        <w:rPr>
          <w:rStyle w:val="tp-label"/>
          <w:color w:val="000000"/>
          <w:sz w:val="22"/>
          <w:szCs w:val="22"/>
        </w:rPr>
        <w:t xml:space="preserve"> </w:t>
      </w:r>
      <w:r w:rsidR="006A731F" w:rsidRPr="000D6F44">
        <w:rPr>
          <w:rStyle w:val="tp-label"/>
          <w:color w:val="000000"/>
          <w:sz w:val="22"/>
          <w:szCs w:val="22"/>
        </w:rPr>
        <w:t xml:space="preserve">in </w:t>
      </w:r>
      <w:r w:rsidR="006A731F" w:rsidRPr="000D6F44">
        <w:rPr>
          <w:i/>
          <w:sz w:val="22"/>
          <w:szCs w:val="22"/>
        </w:rPr>
        <w:t>Promoting Preventive Services for Adults 50-64: Community and Clinical Partnerships: State by State Percentages for Key Indicators</w:t>
      </w:r>
      <w:r w:rsidR="006A731F" w:rsidRPr="000D6F44">
        <w:rPr>
          <w:sz w:val="22"/>
          <w:szCs w:val="22"/>
        </w:rPr>
        <w:t xml:space="preserve">, November 2009, </w:t>
      </w:r>
      <w:r w:rsidR="006A731F" w:rsidRPr="00AD385F">
        <w:rPr>
          <w:sz w:val="22"/>
          <w:szCs w:val="22"/>
        </w:rPr>
        <w:t>www.cdc.gov/aging/pdf/promoting_report_tables.pdf</w:t>
      </w:r>
      <w:r w:rsidR="006A731F" w:rsidRPr="000D6F44">
        <w:rPr>
          <w:sz w:val="22"/>
          <w:szCs w:val="22"/>
        </w:rPr>
        <w:t xml:space="preserve">). </w:t>
      </w:r>
    </w:p>
    <w:p w:rsidR="006A731F" w:rsidRPr="000D6F44" w:rsidRDefault="006A731F" w:rsidP="00BD1CAC">
      <w:pPr>
        <w:numPr>
          <w:ilvl w:val="0"/>
          <w:numId w:val="2"/>
        </w:numPr>
        <w:rPr>
          <w:sz w:val="22"/>
          <w:szCs w:val="22"/>
        </w:rPr>
      </w:pPr>
      <w:r w:rsidRPr="000D6F44">
        <w:rPr>
          <w:sz w:val="22"/>
          <w:szCs w:val="22"/>
        </w:rPr>
        <w:t xml:space="preserve">Tell your readers where their state </w:t>
      </w:r>
      <w:r w:rsidR="00677501" w:rsidRPr="000D6F44">
        <w:rPr>
          <w:sz w:val="22"/>
          <w:szCs w:val="22"/>
        </w:rPr>
        <w:t xml:space="preserve">stands </w:t>
      </w:r>
      <w:r w:rsidRPr="000D6F44">
        <w:rPr>
          <w:sz w:val="22"/>
          <w:szCs w:val="22"/>
        </w:rPr>
        <w:t xml:space="preserve">with respect to immunization rates </w:t>
      </w:r>
      <w:r w:rsidR="006643D1">
        <w:rPr>
          <w:sz w:val="22"/>
          <w:szCs w:val="22"/>
        </w:rPr>
        <w:t xml:space="preserve">and other clinical preventive services </w:t>
      </w:r>
      <w:r w:rsidRPr="000D6F44">
        <w:rPr>
          <w:sz w:val="22"/>
          <w:szCs w:val="22"/>
        </w:rPr>
        <w:t xml:space="preserve">as compared to </w:t>
      </w:r>
      <w:r w:rsidR="00D94642">
        <w:rPr>
          <w:sz w:val="22"/>
          <w:szCs w:val="22"/>
        </w:rPr>
        <w:t xml:space="preserve">other states or </w:t>
      </w:r>
      <w:r w:rsidRPr="000D6F44">
        <w:rPr>
          <w:sz w:val="22"/>
          <w:szCs w:val="22"/>
        </w:rPr>
        <w:t xml:space="preserve">Healthy People </w:t>
      </w:r>
      <w:r w:rsidR="00D94642">
        <w:rPr>
          <w:sz w:val="22"/>
          <w:szCs w:val="22"/>
        </w:rPr>
        <w:t xml:space="preserve">2020 </w:t>
      </w:r>
      <w:r w:rsidRPr="000D6F44">
        <w:rPr>
          <w:sz w:val="22"/>
          <w:szCs w:val="22"/>
        </w:rPr>
        <w:t>goals.</w:t>
      </w:r>
    </w:p>
    <w:p w:rsidR="0003757F" w:rsidRPr="000D6F44" w:rsidRDefault="0003757F" w:rsidP="00BD1CAC">
      <w:pPr>
        <w:numPr>
          <w:ilvl w:val="0"/>
          <w:numId w:val="2"/>
        </w:numPr>
        <w:rPr>
          <w:sz w:val="22"/>
          <w:szCs w:val="22"/>
        </w:rPr>
      </w:pPr>
      <w:r w:rsidRPr="000D6F44">
        <w:rPr>
          <w:sz w:val="22"/>
          <w:szCs w:val="22"/>
        </w:rPr>
        <w:t>Write a story about the need for public health departments</w:t>
      </w:r>
      <w:r w:rsidR="00B405F3">
        <w:rPr>
          <w:sz w:val="22"/>
          <w:szCs w:val="22"/>
        </w:rPr>
        <w:t>,</w:t>
      </w:r>
      <w:r w:rsidR="00D94642">
        <w:rPr>
          <w:sz w:val="22"/>
          <w:szCs w:val="22"/>
        </w:rPr>
        <w:t xml:space="preserve"> community health centers</w:t>
      </w:r>
      <w:r w:rsidR="00B405F3">
        <w:rPr>
          <w:sz w:val="22"/>
          <w:szCs w:val="22"/>
        </w:rPr>
        <w:t>, and aging services organizations</w:t>
      </w:r>
      <w:r w:rsidR="00D94642">
        <w:rPr>
          <w:sz w:val="22"/>
          <w:szCs w:val="22"/>
        </w:rPr>
        <w:t xml:space="preserve"> </w:t>
      </w:r>
      <w:r w:rsidRPr="000D6F44">
        <w:rPr>
          <w:sz w:val="22"/>
          <w:szCs w:val="22"/>
        </w:rPr>
        <w:t xml:space="preserve">to </w:t>
      </w:r>
      <w:r w:rsidR="00B405F3">
        <w:rPr>
          <w:sz w:val="22"/>
          <w:szCs w:val="22"/>
        </w:rPr>
        <w:t>work together</w:t>
      </w:r>
      <w:r w:rsidR="00D94642">
        <w:rPr>
          <w:sz w:val="22"/>
          <w:szCs w:val="22"/>
        </w:rPr>
        <w:t xml:space="preserve"> to reach older adults to provide clinical preventive services.</w:t>
      </w:r>
    </w:p>
    <w:p w:rsidR="0003757F" w:rsidRPr="001F5C9F" w:rsidRDefault="0003757F" w:rsidP="00BD1CAC">
      <w:pPr>
        <w:ind w:left="720" w:hanging="720"/>
        <w:rPr>
          <w:sz w:val="22"/>
          <w:szCs w:val="22"/>
        </w:rPr>
      </w:pPr>
    </w:p>
    <w:p w:rsidR="0003757F" w:rsidRPr="00520BA5" w:rsidRDefault="0003757F" w:rsidP="007D2F37">
      <w:pPr>
        <w:spacing w:line="480" w:lineRule="auto"/>
        <w:ind w:left="720" w:hanging="720"/>
        <w:jc w:val="center"/>
        <w:rPr>
          <w:b/>
        </w:rPr>
      </w:pPr>
      <w:r w:rsidRPr="00520BA5">
        <w:rPr>
          <w:b/>
        </w:rPr>
        <w:t>REFERENCES AND RESOURCES</w:t>
      </w:r>
    </w:p>
    <w:p w:rsidR="0003757F" w:rsidRPr="00520BA5" w:rsidRDefault="0003757F" w:rsidP="00BD1CAC">
      <w:pPr>
        <w:ind w:left="720" w:hanging="720"/>
      </w:pPr>
      <w:r w:rsidRPr="00520BA5">
        <w:rPr>
          <w:b/>
          <w:u w:val="single"/>
        </w:rPr>
        <w:t xml:space="preserve">JOURNALS AND REFERENCES CITED: </w:t>
      </w:r>
    </w:p>
    <w:p w:rsidR="000B5ABF" w:rsidRDefault="000B5ABF" w:rsidP="00BD1CAC">
      <w:pPr>
        <w:ind w:left="720" w:hanging="720"/>
      </w:pPr>
      <w:r w:rsidRPr="00652BFA">
        <w:t xml:space="preserve">AARP 2008: AARP Public Policy Institute. Racial and ethnic disparities in influenza and pneumococcal immunization rates among Medicare beneficiaries. AARP Insight on the Issues, October 2008. Available at: </w:t>
      </w:r>
      <w:r w:rsidRPr="00025DC6">
        <w:t>http://assets.aarp.org/rgcenter/health/i12_flu.pdf</w:t>
      </w:r>
    </w:p>
    <w:p w:rsidR="00EA6C1D" w:rsidRDefault="004B7D46" w:rsidP="00BD1CAC">
      <w:pPr>
        <w:ind w:left="720" w:hanging="720"/>
      </w:pPr>
      <w:r w:rsidRPr="004B7D46">
        <w:t>AARP 2009:</w:t>
      </w:r>
      <w:r w:rsidR="00252C8F">
        <w:t xml:space="preserve"> </w:t>
      </w:r>
      <w:r w:rsidR="00EA6C1D" w:rsidRPr="00EA6C1D">
        <w:t xml:space="preserve">Keenan T. Preventive Health Screenings among Midlife and Older Adults, interviews conducted for AARP by </w:t>
      </w:r>
      <w:proofErr w:type="spellStart"/>
      <w:r w:rsidR="00EA6C1D" w:rsidRPr="00EA6C1D">
        <w:t>Woelfel</w:t>
      </w:r>
      <w:proofErr w:type="spellEnd"/>
      <w:r w:rsidR="00EA6C1D" w:rsidRPr="00EA6C1D">
        <w:t xml:space="preserve"> Research, Inc. from December 2 to December 11, 2009. AARP Knowledge Management, February 2010.</w:t>
      </w:r>
      <w:r w:rsidR="000C0B0D">
        <w:t xml:space="preserve"> Available at</w:t>
      </w:r>
      <w:r w:rsidR="00EA6C1D" w:rsidRPr="00EA6C1D">
        <w:t xml:space="preserve"> </w:t>
      </w:r>
      <w:r w:rsidR="00EA6C1D" w:rsidRPr="00025DC6">
        <w:t>http://assets.aarp.org/rgcenter/health/prevmed.pdf</w:t>
      </w:r>
    </w:p>
    <w:p w:rsidR="000B5ABF" w:rsidRPr="00652BFA" w:rsidRDefault="000B5ABF" w:rsidP="00BD1CAC">
      <w:pPr>
        <w:ind w:left="720" w:hanging="720"/>
      </w:pPr>
      <w:r w:rsidRPr="00652BFA">
        <w:t xml:space="preserve">AHRQ 2009: Agency for Healthcare Research and Quality. National Healthcare Disparities Report 2008. Rockville, MD: U.S. Department of Health and Human Services, Agency for Healthcare Research and Quality; 2009. Available at: </w:t>
      </w:r>
      <w:r w:rsidRPr="00025DC6">
        <w:t>www.ahrq.gov/qual/nhdr08/nhdr08.pdf</w:t>
      </w:r>
      <w:r w:rsidRPr="00652BFA">
        <w:t xml:space="preserve"> </w:t>
      </w:r>
    </w:p>
    <w:p w:rsidR="000B5ABF" w:rsidRPr="00652BFA" w:rsidRDefault="000B5ABF" w:rsidP="00BD1CAC">
      <w:pPr>
        <w:ind w:left="720" w:hanging="720"/>
      </w:pPr>
      <w:r w:rsidRPr="00652BFA">
        <w:t xml:space="preserve">AHRQ 2010: Agency for Healthcare Research and Quality. </w:t>
      </w:r>
      <w:proofErr w:type="gramStart"/>
      <w:r w:rsidRPr="00652BFA">
        <w:t>2010 National Healthcare Quality &amp; Disparities Reports.</w:t>
      </w:r>
      <w:proofErr w:type="gramEnd"/>
      <w:r w:rsidRPr="00652BFA">
        <w:t xml:space="preserve"> Available at: </w:t>
      </w:r>
      <w:r w:rsidRPr="00025DC6">
        <w:t>www.ahrq.gov/qual/qrdr10.htm</w:t>
      </w:r>
    </w:p>
    <w:p w:rsidR="000B5ABF" w:rsidRPr="00652BFA" w:rsidRDefault="000B5ABF" w:rsidP="00BD1CAC">
      <w:pPr>
        <w:ind w:left="720" w:hanging="720"/>
      </w:pPr>
      <w:r w:rsidRPr="00652BFA">
        <w:lastRenderedPageBreak/>
        <w:t>AoA 2011</w:t>
      </w:r>
      <w:r w:rsidR="00652BFA" w:rsidRPr="00652BFA">
        <w:t>a</w:t>
      </w:r>
      <w:r w:rsidRPr="00652BFA">
        <w:t xml:space="preserve">: U.S. Administration on Aging. Aging Statistics. Available at: </w:t>
      </w:r>
      <w:r w:rsidRPr="00025DC6">
        <w:t>www.aoa.gov/AoARoot/Aging_Statistics/index.aspx</w:t>
      </w:r>
      <w:r w:rsidRPr="00652BFA">
        <w:t xml:space="preserve"> </w:t>
      </w:r>
    </w:p>
    <w:p w:rsidR="000B5ABF" w:rsidRPr="00652BFA" w:rsidRDefault="000B5ABF" w:rsidP="00BD1CAC">
      <w:pPr>
        <w:ind w:left="720" w:hanging="720"/>
      </w:pPr>
      <w:r w:rsidRPr="00652BFA">
        <w:t>AoA 2011</w:t>
      </w:r>
      <w:r w:rsidR="00652BFA" w:rsidRPr="00652BFA">
        <w:t>b</w:t>
      </w:r>
      <w:r w:rsidRPr="00652BFA">
        <w:t xml:space="preserve">: Administration on Aging. </w:t>
      </w:r>
      <w:proofErr w:type="gramStart"/>
      <w:r w:rsidRPr="00652BFA">
        <w:t>Health, Prevention, and Wellness Program.</w:t>
      </w:r>
      <w:proofErr w:type="gramEnd"/>
      <w:r w:rsidRPr="00652BFA">
        <w:t xml:space="preserve"> Available at: </w:t>
      </w:r>
      <w:r w:rsidRPr="00025DC6">
        <w:t>www.aoa.gov/AoARoot/AoA_Programs/HPW/Index.aspx</w:t>
      </w:r>
      <w:r w:rsidRPr="00652BFA">
        <w:t xml:space="preserve"> </w:t>
      </w:r>
    </w:p>
    <w:p w:rsidR="000B5ABF" w:rsidRPr="00652BFA" w:rsidRDefault="000B5ABF" w:rsidP="00BD1CAC">
      <w:pPr>
        <w:ind w:left="720" w:hanging="720"/>
      </w:pPr>
      <w:r w:rsidRPr="00652BFA">
        <w:t xml:space="preserve">Cassidy 2010: Cassidy A., Health Affairs and the Robert Wood Johnson Foundation. Health Policy Brief: Preventive Services Without Cost Sharing, Health Affairs, December 28, 2010. Available at: </w:t>
      </w:r>
      <w:r w:rsidRPr="00025DC6">
        <w:t>www.healthaffairs.org/healthpolicybriefs/brief.php?brief_id=37</w:t>
      </w:r>
      <w:r w:rsidRPr="00652BFA">
        <w:t xml:space="preserve"> </w:t>
      </w:r>
    </w:p>
    <w:p w:rsidR="003A1A44" w:rsidRPr="00520BA5" w:rsidRDefault="003A1A44" w:rsidP="00BD1CAC">
      <w:pPr>
        <w:ind w:left="720" w:hanging="720"/>
      </w:pPr>
      <w:r>
        <w:t xml:space="preserve">CDC </w:t>
      </w:r>
      <w:r w:rsidR="003E7792">
        <w:t>2005</w:t>
      </w:r>
      <w:r>
        <w:t xml:space="preserve">: </w:t>
      </w:r>
      <w:r w:rsidRPr="00520BA5">
        <w:t xml:space="preserve">Centers for Disease Control and Prevention. </w:t>
      </w:r>
      <w:proofErr w:type="gramStart"/>
      <w:r w:rsidRPr="00520BA5">
        <w:rPr>
          <w:i/>
        </w:rPr>
        <w:t>The Guide to Community Preventive Services,</w:t>
      </w:r>
      <w:r w:rsidRPr="00520BA5">
        <w:t xml:space="preserve"> 1996</w:t>
      </w:r>
      <w:r>
        <w:t>.</w:t>
      </w:r>
      <w:proofErr w:type="gramEnd"/>
      <w:r>
        <w:t xml:space="preserve"> Available at:</w:t>
      </w:r>
      <w:r w:rsidRPr="00520BA5">
        <w:t xml:space="preserve"> </w:t>
      </w:r>
      <w:r w:rsidRPr="00025DC6">
        <w:t>www.thecommunityguide.org/index.html</w:t>
      </w:r>
      <w:r w:rsidRPr="00520BA5">
        <w:t xml:space="preserve"> </w:t>
      </w:r>
    </w:p>
    <w:p w:rsidR="000B5ABF" w:rsidRPr="00652BFA" w:rsidRDefault="000B5ABF" w:rsidP="00BD1CAC">
      <w:pPr>
        <w:ind w:left="720" w:hanging="720"/>
      </w:pPr>
      <w:r w:rsidRPr="00652BFA">
        <w:t xml:space="preserve">CDC 2009: Centers for Disease Control and Prevention, AARP, American Medical Association. Promoting Preventive Services for Adults 50-64: Community and Clinical Partnerships: State by State Percentages for Key Indicators, November 2009. Available at: </w:t>
      </w:r>
      <w:r w:rsidRPr="00025DC6">
        <w:t>www.cdc.gov/aging/pdf/promoting-preventive-services.pdf</w:t>
      </w:r>
    </w:p>
    <w:p w:rsidR="000B5ABF" w:rsidRPr="00652BFA" w:rsidRDefault="000B5ABF" w:rsidP="00BD1CAC">
      <w:pPr>
        <w:ind w:left="720" w:hanging="720"/>
      </w:pPr>
      <w:r w:rsidRPr="00652BFA">
        <w:t xml:space="preserve">CDC 2011a: Centers for Disease Control and Prevention, National Center for Chronic Disease Prevention and Health Promotion. Healthy Aging: Helping People To Live Long and Productive Lives and Enjoy a Good Quality of Life at a Glance 2011. Available at: </w:t>
      </w:r>
      <w:r w:rsidRPr="00025DC6">
        <w:t>www.cdc.gov/chronicdisease/resources/publications/aag/aging.htm</w:t>
      </w:r>
    </w:p>
    <w:p w:rsidR="000B5ABF" w:rsidRPr="00652BFA" w:rsidRDefault="000B5ABF" w:rsidP="00BD1CAC">
      <w:pPr>
        <w:ind w:left="720" w:hanging="720"/>
      </w:pPr>
      <w:r w:rsidRPr="00652BFA">
        <w:t xml:space="preserve">CDC 2011b: Centers for Disease Control and Prevention, Administration on Aging, Agency for Healthcare Research and Quality, and Centers for Medicare </w:t>
      </w:r>
      <w:r w:rsidR="00763CE2">
        <w:t xml:space="preserve">&amp; </w:t>
      </w:r>
      <w:r w:rsidRPr="00652BFA">
        <w:t>Medicaid Services. Enhancing Use of Cli</w:t>
      </w:r>
      <w:r w:rsidR="00180FF8">
        <w:t xml:space="preserve">nical Preventive Services among </w:t>
      </w:r>
      <w:r w:rsidRPr="00652BFA">
        <w:t xml:space="preserve">Older Adults: Closing the Gap. Washington, DC: AARP, 2011. Available at: </w:t>
      </w:r>
      <w:r w:rsidRPr="00025DC6">
        <w:t>www.cdc.gov/aging/pdf/Clinical_Preventive_Services_Closing_the_Gap_Report.pdf</w:t>
      </w:r>
    </w:p>
    <w:p w:rsidR="000B5ABF" w:rsidRPr="00652BFA" w:rsidRDefault="000B5ABF" w:rsidP="00BD1CAC">
      <w:pPr>
        <w:ind w:left="720" w:hanging="720"/>
      </w:pPr>
      <w:r w:rsidRPr="00652BFA">
        <w:t xml:space="preserve">Cohen 2009: Cohen JT, Neumann P. The Cost Savings and Cost-Effectiveness of Clinical Preventive Care, The Robert Wood Johnson Foundation, Research Synthesis Report No. 18, September 2009. Available at: </w:t>
      </w:r>
      <w:r w:rsidRPr="00025DC6">
        <w:t>www.rwjf.org/pr/product.jsp?id=48508</w:t>
      </w:r>
      <w:r w:rsidRPr="00652BFA">
        <w:t xml:space="preserve"> </w:t>
      </w:r>
    </w:p>
    <w:p w:rsidR="000B5ABF" w:rsidRPr="00652BFA" w:rsidRDefault="000B5ABF" w:rsidP="00BD1CAC">
      <w:pPr>
        <w:ind w:left="720" w:hanging="720"/>
      </w:pPr>
      <w:proofErr w:type="spellStart"/>
      <w:r w:rsidRPr="00652BFA">
        <w:t>Cranksaw</w:t>
      </w:r>
      <w:proofErr w:type="spellEnd"/>
      <w:r w:rsidRPr="00652BFA">
        <w:t xml:space="preserve"> 2002: </w:t>
      </w:r>
      <w:proofErr w:type="spellStart"/>
      <w:r w:rsidRPr="00652BFA">
        <w:t>Crankshaw</w:t>
      </w:r>
      <w:proofErr w:type="spellEnd"/>
      <w:r w:rsidRPr="00652BFA">
        <w:t xml:space="preserve"> E, </w:t>
      </w:r>
      <w:proofErr w:type="spellStart"/>
      <w:r w:rsidRPr="00652BFA">
        <w:t>Rabiner</w:t>
      </w:r>
      <w:proofErr w:type="spellEnd"/>
      <w:r w:rsidRPr="00652BFA">
        <w:t xml:space="preserve"> D, O</w:t>
      </w:r>
      <w:r w:rsidR="00A60A50">
        <w:t>’</w:t>
      </w:r>
      <w:r w:rsidRPr="00652BFA">
        <w:t xml:space="preserve">Keeffe J. An Overview of Programs and Initiatives Sponsored by DHHS to Promote Healthy Aging: A Background Paper for the Blueprint on Aging for the 21st Century Technical Advisory Group (TAG) Meeting. RTI International, January 11, 2003. Available at: </w:t>
      </w:r>
      <w:r w:rsidRPr="00025DC6">
        <w:t>http://aspe.dhhs.gov/daltcp/CaregiverEvent/programs.htm</w:t>
      </w:r>
      <w:r w:rsidRPr="00652BFA">
        <w:t xml:space="preserve"> </w:t>
      </w:r>
    </w:p>
    <w:p w:rsidR="000B5ABF" w:rsidRDefault="000B5ABF" w:rsidP="00BD1CAC">
      <w:pPr>
        <w:ind w:left="720" w:hanging="720"/>
      </w:pPr>
      <w:r w:rsidRPr="00652BFA">
        <w:t xml:space="preserve">HHS 2010: Department of Health and Human Services. Healthy People 2020, Older Adult Section, December 2010. Available at: </w:t>
      </w:r>
      <w:r w:rsidRPr="00025DC6">
        <w:t>www.healthypeople.gov/2020/topicsobjectives2020/overview.aspx?topicid=31</w:t>
      </w:r>
    </w:p>
    <w:p w:rsidR="00870B11" w:rsidRPr="00870B11" w:rsidRDefault="00870B11" w:rsidP="00BD1CAC">
      <w:pPr>
        <w:ind w:left="720" w:hanging="720"/>
      </w:pPr>
      <w:r>
        <w:t xml:space="preserve">HHS 2011: </w:t>
      </w:r>
      <w:r w:rsidRPr="00870B11">
        <w:t>Department of Health and Human Services, Centers for Me</w:t>
      </w:r>
      <w:r>
        <w:t>dicare &amp; Medicaid Services</w:t>
      </w:r>
      <w:r w:rsidRPr="00870B11">
        <w:t xml:space="preserve">. Medicare claims data [Internet]. Baltimore: </w:t>
      </w:r>
      <w:r>
        <w:t>updated 2011</w:t>
      </w:r>
      <w:r w:rsidRPr="00870B11">
        <w:t xml:space="preserve">. Available </w:t>
      </w:r>
      <w:r>
        <w:t>at</w:t>
      </w:r>
      <w:r w:rsidRPr="00870B11">
        <w:t xml:space="preserve">: </w:t>
      </w:r>
      <w:r w:rsidRPr="00025DC6">
        <w:t>http://www.cms.gov/PrevntionGenInfo/20_prevserv.asp</w:t>
      </w:r>
    </w:p>
    <w:p w:rsidR="000B5ABF" w:rsidRPr="00652BFA" w:rsidRDefault="000B5ABF" w:rsidP="00BD1CAC">
      <w:pPr>
        <w:ind w:left="720" w:hanging="720"/>
      </w:pPr>
      <w:r w:rsidRPr="00652BFA">
        <w:t xml:space="preserve">HRSA 2011: Health Resources and Services Administration. Patient Navigator Outreach and Chronic Disease Prevention. Available at: </w:t>
      </w:r>
      <w:r w:rsidRPr="00025DC6">
        <w:t>http://bhpr.hrsa.gov/grants/patientnavigator/</w:t>
      </w:r>
      <w:r w:rsidRPr="00652BFA">
        <w:t xml:space="preserve"> </w:t>
      </w:r>
    </w:p>
    <w:p w:rsidR="000B5ABF" w:rsidRPr="00652BFA" w:rsidRDefault="000B5ABF" w:rsidP="00BD1CAC">
      <w:pPr>
        <w:ind w:left="720" w:hanging="720"/>
      </w:pPr>
      <w:proofErr w:type="spellStart"/>
      <w:r w:rsidRPr="00652BFA">
        <w:t>Maciosek</w:t>
      </w:r>
      <w:proofErr w:type="spellEnd"/>
      <w:r w:rsidRPr="00652BFA">
        <w:t xml:space="preserve"> 2010: </w:t>
      </w:r>
      <w:proofErr w:type="spellStart"/>
      <w:r w:rsidRPr="00652BFA">
        <w:t>Maciosek</w:t>
      </w:r>
      <w:proofErr w:type="spellEnd"/>
      <w:r w:rsidRPr="00652BFA">
        <w:t xml:space="preserve"> M, Ashley B, et al. Greater Use of Preventive Services in U.S. Health Care Could Save Lives at Little or No Cost, Health Affairs 29, no. 9 (2010): 1656-60. Available at: </w:t>
      </w:r>
      <w:r w:rsidRPr="00025DC6">
        <w:t>http://content.healthaffairs.org/content/29/9/1656.abstract</w:t>
      </w:r>
    </w:p>
    <w:p w:rsidR="000B5ABF" w:rsidRPr="00652BFA" w:rsidRDefault="000B5ABF" w:rsidP="00BD1CAC">
      <w:pPr>
        <w:ind w:left="720" w:hanging="720"/>
      </w:pPr>
      <w:proofErr w:type="spellStart"/>
      <w:r w:rsidRPr="00652BFA">
        <w:t>Maeshiro</w:t>
      </w:r>
      <w:proofErr w:type="spellEnd"/>
      <w:r w:rsidRPr="00652BFA">
        <w:t xml:space="preserve"> 2011: </w:t>
      </w:r>
      <w:proofErr w:type="spellStart"/>
      <w:r w:rsidRPr="00652BFA">
        <w:t>Maeshiro</w:t>
      </w:r>
      <w:proofErr w:type="spellEnd"/>
      <w:r w:rsidRPr="00652BFA">
        <w:t xml:space="preserve"> R, et al. Integration of Public Health into Medical Education. Am J </w:t>
      </w:r>
      <w:proofErr w:type="spellStart"/>
      <w:r w:rsidRPr="00652BFA">
        <w:t>Prev</w:t>
      </w:r>
      <w:proofErr w:type="spellEnd"/>
      <w:r w:rsidRPr="00652BFA">
        <w:t xml:space="preserve"> Med 2011</w:t>
      </w:r>
      <w:proofErr w:type="gramStart"/>
      <w:r w:rsidRPr="00652BFA">
        <w:t>;41</w:t>
      </w:r>
      <w:proofErr w:type="gramEnd"/>
      <w:r w:rsidRPr="00652BFA">
        <w:t>(4S3):S145–S148.</w:t>
      </w:r>
    </w:p>
    <w:p w:rsidR="000B5ABF" w:rsidRPr="00652BFA" w:rsidRDefault="000B5ABF" w:rsidP="00BD1CAC">
      <w:pPr>
        <w:ind w:left="720" w:hanging="720"/>
      </w:pPr>
      <w:r w:rsidRPr="00652BFA">
        <w:t xml:space="preserve">Morales 2004: Morales L, et al. </w:t>
      </w:r>
      <w:proofErr w:type="spellStart"/>
      <w:r w:rsidRPr="00652BFA">
        <w:t>Sociodemographic</w:t>
      </w:r>
      <w:proofErr w:type="spellEnd"/>
      <w:r w:rsidRPr="00652BFA">
        <w:t xml:space="preserve"> Differences in Use of Preventive Services by Women Enrolled in </w:t>
      </w:r>
      <w:proofErr w:type="spellStart"/>
      <w:r w:rsidRPr="00652BFA">
        <w:t>Medicare+Choice</w:t>
      </w:r>
      <w:proofErr w:type="spellEnd"/>
      <w:r w:rsidRPr="00652BFA">
        <w:t xml:space="preserve"> Plans. Preventive Medicine, v. 39, no. 4, Oct. 2004, p. 738-745. Available at: </w:t>
      </w:r>
      <w:r w:rsidRPr="00025DC6">
        <w:t>www.ncbi.nlm.nih.gov/pubmed/15351540</w:t>
      </w:r>
      <w:r w:rsidRPr="00652BFA">
        <w:t xml:space="preserve"> </w:t>
      </w:r>
    </w:p>
    <w:p w:rsidR="000B5ABF" w:rsidRDefault="000B5ABF" w:rsidP="00BD1CAC">
      <w:pPr>
        <w:ind w:left="720" w:hanging="720"/>
      </w:pPr>
      <w:r w:rsidRPr="00652BFA">
        <w:t xml:space="preserve">NASUAD 2011: National Association of States United for Aging and Disabilities. Medicare’s Preventive Services: Free Preventive Services for People in Medicare, June 2011. Available at: </w:t>
      </w:r>
      <w:r w:rsidRPr="00025DC6">
        <w:t>www.nasuad.org/documentation/nasuad_materials/NASUAD's%20Information%20Guide%20on%20Medicare's%20Preventive%20Services.pdf</w:t>
      </w:r>
      <w:r w:rsidRPr="00652BFA">
        <w:t xml:space="preserve"> </w:t>
      </w:r>
    </w:p>
    <w:p w:rsidR="00096145" w:rsidRPr="00096145" w:rsidRDefault="00096145" w:rsidP="00BD1CAC">
      <w:pPr>
        <w:ind w:left="720" w:hanging="720"/>
      </w:pPr>
      <w:r>
        <w:t xml:space="preserve">National Prevention Strategy 2011: </w:t>
      </w:r>
      <w:r w:rsidRPr="00096145">
        <w:t xml:space="preserve">National Prevention Strategy: Strategic Directions and Priorities, released on June 16, 2011 by the National Prevention, Health Promotion, and Public Health Council. Available at </w:t>
      </w:r>
      <w:r w:rsidRPr="00025DC6">
        <w:t>www.healthcare.gov/prevention/nphpphc/strategy/intro-strategic-directions-priorities.pdf</w:t>
      </w:r>
    </w:p>
    <w:p w:rsidR="000B5ABF" w:rsidRPr="00652BFA" w:rsidRDefault="000B5ABF" w:rsidP="00BD1CAC">
      <w:pPr>
        <w:ind w:left="720" w:hanging="720"/>
      </w:pPr>
      <w:r w:rsidRPr="00652BFA">
        <w:t xml:space="preserve">Shenson 2007: Shenson D, Bolen J, Adams M. Receipt of preventive services by elders based on composite measures, 1997–2004. Am J </w:t>
      </w:r>
      <w:proofErr w:type="spellStart"/>
      <w:r w:rsidRPr="00652BFA">
        <w:t>Prev</w:t>
      </w:r>
      <w:proofErr w:type="spellEnd"/>
      <w:r w:rsidRPr="00652BFA">
        <w:t xml:space="preserve"> Med 2007</w:t>
      </w:r>
      <w:proofErr w:type="gramStart"/>
      <w:r w:rsidRPr="00652BFA">
        <w:t>;32</w:t>
      </w:r>
      <w:proofErr w:type="gramEnd"/>
      <w:r w:rsidRPr="00652BFA">
        <w:t xml:space="preserve">(1):11-8. Available at: </w:t>
      </w:r>
      <w:r w:rsidRPr="00025DC6">
        <w:t>www.ncbi.nlm.nih.gov/sites/entrez?Db=pubmed&amp;Cmd=ShowDetailView&amp;TermToSearch=17218188&amp;ordinalpos=1&amp;itool=EntrezSystem2.PEntrez.Pubmed.Pubmed_ResultsPanel.Pubmed_RVDocSum</w:t>
      </w:r>
      <w:r w:rsidRPr="00652BFA">
        <w:t xml:space="preserve"> </w:t>
      </w:r>
    </w:p>
    <w:p w:rsidR="000B5ABF" w:rsidRPr="00652BFA" w:rsidRDefault="000B5ABF" w:rsidP="00BD1CAC">
      <w:pPr>
        <w:ind w:left="720" w:hanging="720"/>
      </w:pPr>
      <w:r w:rsidRPr="00652BFA">
        <w:t xml:space="preserve">Shenson 2008: Shenson D, Benson W, Harris AC. Expanding the delivery of clinical preventive services through community collaboration: the SPARC model. </w:t>
      </w:r>
      <w:proofErr w:type="spellStart"/>
      <w:proofErr w:type="gramStart"/>
      <w:r w:rsidRPr="00652BFA">
        <w:rPr>
          <w:i/>
        </w:rPr>
        <w:t>Prev</w:t>
      </w:r>
      <w:proofErr w:type="spellEnd"/>
      <w:r w:rsidRPr="00652BFA">
        <w:rPr>
          <w:i/>
        </w:rPr>
        <w:t xml:space="preserve"> Chronic Dis</w:t>
      </w:r>
      <w:r w:rsidRPr="00652BFA">
        <w:t xml:space="preserve"> 2008; 5(1).</w:t>
      </w:r>
      <w:proofErr w:type="gramEnd"/>
      <w:r w:rsidRPr="00652BFA">
        <w:t xml:space="preserve"> Available at: </w:t>
      </w:r>
      <w:r w:rsidRPr="00025DC6">
        <w:t>www.cdc.gov/pcd/issues/2008/jan/07_0139.htm</w:t>
      </w:r>
    </w:p>
    <w:p w:rsidR="000B5ABF" w:rsidRPr="00652BFA" w:rsidRDefault="000B5ABF" w:rsidP="00BD1CAC">
      <w:pPr>
        <w:ind w:left="720" w:hanging="720"/>
      </w:pPr>
      <w:r w:rsidRPr="00652BFA">
        <w:lastRenderedPageBreak/>
        <w:t xml:space="preserve">Shenson 2011: Shenson D, Adams M, Bolen J. Routine checkups don’t ensure that seniors get preventive services. </w:t>
      </w:r>
      <w:r w:rsidRPr="00652BFA">
        <w:rPr>
          <w:i/>
        </w:rPr>
        <w:t>Journal of Family Practice</w:t>
      </w:r>
      <w:r w:rsidRPr="00652BFA">
        <w:t xml:space="preserve">, January 2011, Vol. 60, No. 01: E1-E10. Available at: </w:t>
      </w:r>
      <w:r w:rsidRPr="00025DC6">
        <w:t>www.jfponline.com/Pages.asp?AID=9255&amp;issue=January_2011&amp;UID</w:t>
      </w:r>
      <w:r w:rsidRPr="00652BFA">
        <w:t>=</w:t>
      </w:r>
    </w:p>
    <w:p w:rsidR="000B5ABF" w:rsidRPr="00652BFA" w:rsidRDefault="000B5ABF" w:rsidP="00BD1CAC">
      <w:pPr>
        <w:ind w:left="720" w:hanging="720"/>
      </w:pPr>
      <w:proofErr w:type="spellStart"/>
      <w:r w:rsidRPr="00652BFA">
        <w:t>Tebo</w:t>
      </w:r>
      <w:proofErr w:type="spellEnd"/>
      <w:r w:rsidRPr="00652BFA">
        <w:t xml:space="preserve"> 2011: </w:t>
      </w:r>
      <w:proofErr w:type="spellStart"/>
      <w:r w:rsidRPr="00652BFA">
        <w:t>Tebo</w:t>
      </w:r>
      <w:proofErr w:type="spellEnd"/>
      <w:r w:rsidRPr="00652BFA">
        <w:t xml:space="preserve"> G. Healthy People 2020: Preparing for a New Decade, PowerPoint Presentation, Office of Disease Prevention and Health Promotion, Department of Health and Human Services, Jan. 20, 2011. Available at: </w:t>
      </w:r>
      <w:r w:rsidRPr="00025DC6">
        <w:t>www.hrsa.gov/advisorycommittees/shortage/Meetings/20110118/MeetingMaterials/hlthppl20.ppt</w:t>
      </w:r>
      <w:r w:rsidRPr="00652BFA">
        <w:t xml:space="preserve"> </w:t>
      </w:r>
    </w:p>
    <w:p w:rsidR="000B5ABF" w:rsidRPr="00652BFA" w:rsidRDefault="000B5ABF" w:rsidP="00BD1CAC">
      <w:pPr>
        <w:ind w:left="720" w:hanging="720"/>
      </w:pPr>
      <w:r w:rsidRPr="00652BFA">
        <w:t>USPSTF 2011: U.S. Preventive Services Task Force. USPSTF</w:t>
      </w:r>
      <w:r w:rsidR="00DB4106">
        <w:t xml:space="preserve"> </w:t>
      </w:r>
      <w:r w:rsidRPr="00652BFA">
        <w:t xml:space="preserve">A and B Recommendations. Available at: </w:t>
      </w:r>
      <w:r w:rsidRPr="00025DC6">
        <w:t>www.uspreventiveservicestaskforce.org/uspstf/uspsabrecs.htm</w:t>
      </w:r>
    </w:p>
    <w:p w:rsidR="008F577D" w:rsidRPr="00520BA5" w:rsidRDefault="0024362C" w:rsidP="007D2F37">
      <w:pPr>
        <w:spacing w:line="480" w:lineRule="auto"/>
        <w:ind w:left="720" w:hanging="720"/>
      </w:pPr>
      <w:r>
        <w:t xml:space="preserve"> </w:t>
      </w:r>
    </w:p>
    <w:p w:rsidR="0003757F" w:rsidRPr="00520BA5" w:rsidRDefault="0003757F" w:rsidP="00BD1CAC">
      <w:pPr>
        <w:ind w:left="720" w:hanging="720"/>
      </w:pPr>
      <w:r w:rsidRPr="00520BA5">
        <w:rPr>
          <w:b/>
          <w:u w:val="single"/>
        </w:rPr>
        <w:t xml:space="preserve">ADDITIONAL RESOURCES: </w:t>
      </w:r>
    </w:p>
    <w:p w:rsidR="00C24D70" w:rsidRPr="00520BA5" w:rsidRDefault="00C24D70" w:rsidP="00BD1CAC">
      <w:pPr>
        <w:ind w:left="720" w:hanging="720"/>
      </w:pPr>
      <w:r w:rsidRPr="00520BA5">
        <w:t xml:space="preserve">Agency for Healthcare Research and Quality, </w:t>
      </w:r>
      <w:r w:rsidRPr="00520BA5">
        <w:rPr>
          <w:i/>
        </w:rPr>
        <w:t>Guide to Clinical Preventive Services, 2010-2011: Recommendations of the U.S. Preventive Services Task Force</w:t>
      </w:r>
      <w:r w:rsidR="00DE1337">
        <w:t xml:space="preserve">. Available at: </w:t>
      </w:r>
      <w:r w:rsidR="000B6107" w:rsidRPr="00025DC6">
        <w:t>www</w:t>
      </w:r>
      <w:r w:rsidRPr="00025DC6">
        <w:t>.gov/clinic/pocketgd.htm</w:t>
      </w:r>
      <w:r w:rsidRPr="00520BA5">
        <w:t xml:space="preserve"> </w:t>
      </w:r>
    </w:p>
    <w:p w:rsidR="001415F4" w:rsidRPr="00520BA5" w:rsidRDefault="001415F4" w:rsidP="00BD1CAC">
      <w:pPr>
        <w:ind w:left="720" w:hanging="720"/>
      </w:pPr>
      <w:proofErr w:type="gramStart"/>
      <w:r w:rsidRPr="00520BA5">
        <w:t>Centers for Medicare &amp; Medicaid Services.</w:t>
      </w:r>
      <w:proofErr w:type="gramEnd"/>
      <w:r w:rsidRPr="00520BA5">
        <w:t xml:space="preserve"> </w:t>
      </w:r>
      <w:r w:rsidRPr="00520BA5">
        <w:rPr>
          <w:i/>
        </w:rPr>
        <w:t>Your Guide to Medicare`s Preventive Services</w:t>
      </w:r>
      <w:r w:rsidRPr="00520BA5">
        <w:t xml:space="preserve">, </w:t>
      </w:r>
      <w:r w:rsidR="003858E8" w:rsidRPr="00520BA5">
        <w:t xml:space="preserve">CMS Product No. 10110, </w:t>
      </w:r>
      <w:r w:rsidRPr="00520BA5">
        <w:t xml:space="preserve">May 2011. </w:t>
      </w:r>
      <w:r w:rsidR="00DE1337">
        <w:t xml:space="preserve">Available at: </w:t>
      </w:r>
      <w:r w:rsidRPr="00025DC6">
        <w:t>www.medicare.gov/Publications/Pubs/pdf/10110.pdf</w:t>
      </w:r>
      <w:r w:rsidRPr="00520BA5">
        <w:t xml:space="preserve"> </w:t>
      </w:r>
    </w:p>
    <w:p w:rsidR="003858E8" w:rsidRPr="00520BA5" w:rsidRDefault="00DE1337" w:rsidP="00BD1CAC">
      <w:pPr>
        <w:ind w:left="720" w:hanging="720"/>
      </w:pPr>
      <w:proofErr w:type="gramStart"/>
      <w:r w:rsidRPr="00520BA5">
        <w:t>Centers for Medicare &amp; Medicaid Services</w:t>
      </w:r>
      <w:r w:rsidR="003858E8" w:rsidRPr="00520BA5">
        <w:t>.</w:t>
      </w:r>
      <w:proofErr w:type="gramEnd"/>
      <w:r w:rsidR="003858E8" w:rsidRPr="00520BA5">
        <w:t xml:space="preserve"> Preventive Services. </w:t>
      </w:r>
      <w:r>
        <w:t xml:space="preserve">Available at: </w:t>
      </w:r>
      <w:r w:rsidRPr="00025DC6">
        <w:t>www.medicare.gov/navigation/manage-your-health/preventive-services/preventive-service-overview.aspx</w:t>
      </w:r>
      <w:r>
        <w:t xml:space="preserve"> </w:t>
      </w:r>
    </w:p>
    <w:p w:rsidR="0003757F" w:rsidRPr="00520BA5" w:rsidRDefault="0003757F" w:rsidP="00BD1CAC">
      <w:pPr>
        <w:ind w:left="720" w:hanging="720"/>
      </w:pPr>
      <w:r w:rsidRPr="00520BA5">
        <w:t>National Prevention, Health Promotion, and Public Health Council</w:t>
      </w:r>
      <w:bookmarkStart w:id="2" w:name="three"/>
      <w:bookmarkEnd w:id="2"/>
      <w:r w:rsidRPr="00520BA5">
        <w:t xml:space="preserve">. </w:t>
      </w:r>
      <w:r w:rsidRPr="00520BA5">
        <w:rPr>
          <w:i/>
        </w:rPr>
        <w:t>National Prevention Strategy: America’s Plan for Better Health and Wellness</w:t>
      </w:r>
      <w:r w:rsidRPr="00520BA5">
        <w:t>, June 2011</w:t>
      </w:r>
      <w:r w:rsidR="00DE1337">
        <w:t xml:space="preserve">. Available at: </w:t>
      </w:r>
      <w:r w:rsidRPr="00025DC6">
        <w:t>www.healthcare.gov/center/councils/nphpphc/strategy/report.pdf</w:t>
      </w:r>
    </w:p>
    <w:p w:rsidR="00473595" w:rsidRDefault="001D0FDC" w:rsidP="00BD1CAC">
      <w:pPr>
        <w:ind w:left="720" w:hanging="720"/>
      </w:pPr>
      <w:r w:rsidRPr="00520BA5">
        <w:t>U</w:t>
      </w:r>
      <w:r w:rsidR="00DE1337">
        <w:t>.</w:t>
      </w:r>
      <w:r w:rsidRPr="00520BA5">
        <w:t>S</w:t>
      </w:r>
      <w:r w:rsidR="00DE1337">
        <w:t>.</w:t>
      </w:r>
      <w:r w:rsidRPr="00520BA5">
        <w:t xml:space="preserve"> Preventive </w:t>
      </w:r>
      <w:proofErr w:type="spellStart"/>
      <w:r w:rsidRPr="00520BA5">
        <w:t>ServicesTask</w:t>
      </w:r>
      <w:proofErr w:type="spellEnd"/>
      <w:r w:rsidRPr="00520BA5">
        <w:t xml:space="preserve"> Force. USPSTF: Focus on Older Adults. </w:t>
      </w:r>
      <w:r w:rsidR="00DE1337">
        <w:t xml:space="preserve">Available at: </w:t>
      </w:r>
      <w:r w:rsidRPr="00025DC6">
        <w:t>www.uspreventiveservicestaskforce.org/tfolderfocus.htm</w:t>
      </w:r>
      <w:r w:rsidRPr="00520BA5">
        <w:t xml:space="preserve"> </w:t>
      </w:r>
    </w:p>
    <w:p w:rsidR="00A61521" w:rsidRPr="00520BA5" w:rsidRDefault="00A61521" w:rsidP="00BD1CAC">
      <w:pPr>
        <w:ind w:left="720" w:hanging="720"/>
      </w:pPr>
      <w:r>
        <w:t xml:space="preserve">Vote &amp; </w:t>
      </w:r>
      <w:proofErr w:type="spellStart"/>
      <w:r>
        <w:t>Vax</w:t>
      </w:r>
      <w:proofErr w:type="spellEnd"/>
      <w:r>
        <w:t xml:space="preserve">, </w:t>
      </w:r>
      <w:r w:rsidRPr="00025DC6">
        <w:t>www.voteandvax.org</w:t>
      </w:r>
      <w:r>
        <w:t xml:space="preserve"> </w:t>
      </w:r>
    </w:p>
    <w:p w:rsidR="00B314A2" w:rsidRDefault="00B314A2" w:rsidP="00B314A2">
      <w:pPr>
        <w:ind w:firstLine="360"/>
        <w:rPr>
          <w:sz w:val="22"/>
          <w:szCs w:val="22"/>
        </w:rPr>
      </w:pPr>
    </w:p>
    <w:p w:rsidR="00BD1CAC" w:rsidRPr="00520BA5" w:rsidRDefault="0003757F" w:rsidP="00BD1CAC">
      <w:pPr>
        <w:ind w:left="720" w:hanging="720"/>
      </w:pPr>
      <w:r w:rsidRPr="00520BA5">
        <w:rPr>
          <w:b/>
          <w:u w:val="single"/>
        </w:rPr>
        <w:t xml:space="preserve">EXPERTS CITED: </w:t>
      </w:r>
    </w:p>
    <w:p w:rsidR="002029DD" w:rsidRPr="00520BA5" w:rsidRDefault="002029DD" w:rsidP="00BD1CAC">
      <w:pPr>
        <w:ind w:left="720" w:hanging="720"/>
      </w:pPr>
      <w:r w:rsidRPr="00520BA5">
        <w:t xml:space="preserve">Ahmed </w:t>
      </w:r>
      <w:proofErr w:type="spellStart"/>
      <w:r w:rsidRPr="00C93B5B">
        <w:t>Calvo</w:t>
      </w:r>
      <w:proofErr w:type="spellEnd"/>
      <w:r w:rsidRPr="00C93B5B">
        <w:t>,</w:t>
      </w:r>
      <w:r w:rsidRPr="00520BA5">
        <w:t xml:space="preserve"> </w:t>
      </w:r>
      <w:r w:rsidR="00DD11ED">
        <w:t xml:space="preserve">MD, MPH, </w:t>
      </w:r>
      <w:r w:rsidR="00BC5EA7" w:rsidRPr="00BC5EA7">
        <w:t>Chief Medical Officer, Office of Health I</w:t>
      </w:r>
      <w:r w:rsidR="001034B6">
        <w:t xml:space="preserve">nformation Technology </w:t>
      </w:r>
      <w:r w:rsidR="00BC5EA7" w:rsidRPr="00BC5EA7">
        <w:t>and Quality, Health Resources  and Services Administration</w:t>
      </w:r>
      <w:r w:rsidRPr="00520BA5">
        <w:t xml:space="preserve">, 301-594-4293, </w:t>
      </w:r>
      <w:r w:rsidR="00EA77B1" w:rsidRPr="009E60A6">
        <w:t>ahmed.calvo@hrsa.hhs.gov</w:t>
      </w:r>
    </w:p>
    <w:p w:rsidR="00940053" w:rsidRPr="00520BA5" w:rsidRDefault="00940053" w:rsidP="00BD1CAC">
      <w:pPr>
        <w:ind w:left="720" w:hanging="720"/>
      </w:pPr>
      <w:r w:rsidRPr="00520BA5">
        <w:t>Cathie Berger, Chief, Aging Division</w:t>
      </w:r>
      <w:r w:rsidR="00ED44BC">
        <w:t xml:space="preserve">, </w:t>
      </w:r>
      <w:r w:rsidRPr="00520BA5">
        <w:t>Atlanta Regional Commission, 404</w:t>
      </w:r>
      <w:r w:rsidR="00567139" w:rsidRPr="00520BA5">
        <w:t>-</w:t>
      </w:r>
      <w:r w:rsidRPr="00520BA5">
        <w:t>463</w:t>
      </w:r>
      <w:r w:rsidR="00567139" w:rsidRPr="00520BA5">
        <w:t>-</w:t>
      </w:r>
      <w:r w:rsidRPr="00520BA5">
        <w:t xml:space="preserve">3235, </w:t>
      </w:r>
      <w:r w:rsidRPr="009E60A6">
        <w:t>cberger@atlantaregional.com</w:t>
      </w:r>
      <w:r w:rsidRPr="00520BA5">
        <w:t xml:space="preserve"> </w:t>
      </w:r>
    </w:p>
    <w:p w:rsidR="0003757F" w:rsidRPr="00520BA5" w:rsidRDefault="0003757F" w:rsidP="00BD1CAC">
      <w:pPr>
        <w:ind w:left="720" w:hanging="720"/>
      </w:pPr>
      <w:r w:rsidRPr="00520BA5">
        <w:t xml:space="preserve">Douglas Shenson, </w:t>
      </w:r>
      <w:r w:rsidR="00DD11ED">
        <w:t xml:space="preserve">MD, MPH, </w:t>
      </w:r>
      <w:r w:rsidRPr="00520BA5">
        <w:t>SPARC, 617-796-7966</w:t>
      </w:r>
      <w:r w:rsidR="00B3198D" w:rsidRPr="00520BA5">
        <w:t xml:space="preserve">, </w:t>
      </w:r>
      <w:r w:rsidRPr="009E60A6">
        <w:t>dshenson@sparc-health.org</w:t>
      </w:r>
    </w:p>
    <w:p w:rsidR="00567139" w:rsidRDefault="00D94642" w:rsidP="00BD1CAC">
      <w:pPr>
        <w:ind w:left="720" w:hanging="720"/>
        <w:rPr>
          <w:color w:val="000000"/>
        </w:rPr>
      </w:pPr>
      <w:r w:rsidRPr="00520BA5">
        <w:t xml:space="preserve">Mary </w:t>
      </w:r>
      <w:r w:rsidR="00567139" w:rsidRPr="00520BA5">
        <w:t>Blumberg</w:t>
      </w:r>
      <w:r w:rsidRPr="00520BA5">
        <w:t xml:space="preserve">, </w:t>
      </w:r>
      <w:r w:rsidR="00AB3502">
        <w:t>C</w:t>
      </w:r>
      <w:r w:rsidRPr="00520BA5">
        <w:t xml:space="preserve">oordinator of </w:t>
      </w:r>
      <w:r w:rsidR="00AB3502" w:rsidRPr="00520BA5">
        <w:t>Health Services</w:t>
      </w:r>
      <w:r w:rsidRPr="00520BA5">
        <w:t>, Atlanta Regional Commission</w:t>
      </w:r>
      <w:r w:rsidR="00567139" w:rsidRPr="00520BA5">
        <w:t xml:space="preserve">, </w:t>
      </w:r>
      <w:r w:rsidR="00567139" w:rsidRPr="00520BA5">
        <w:rPr>
          <w:color w:val="000000"/>
        </w:rPr>
        <w:t xml:space="preserve">404-463-8671, </w:t>
      </w:r>
      <w:r w:rsidR="00567139" w:rsidRPr="009E60A6">
        <w:t>mblumberg@atlantaregional.com</w:t>
      </w:r>
      <w:r w:rsidR="00567139" w:rsidRPr="00520BA5">
        <w:rPr>
          <w:color w:val="000000"/>
        </w:rPr>
        <w:t xml:space="preserve"> </w:t>
      </w:r>
    </w:p>
    <w:p w:rsidR="00C55C4C" w:rsidRPr="00520BA5" w:rsidRDefault="00C55C4C" w:rsidP="00BD1CAC">
      <w:pPr>
        <w:ind w:left="720" w:hanging="720"/>
      </w:pPr>
      <w:r>
        <w:rPr>
          <w:color w:val="000000"/>
        </w:rPr>
        <w:t xml:space="preserve">Nicole </w:t>
      </w:r>
      <w:proofErr w:type="spellStart"/>
      <w:r>
        <w:rPr>
          <w:color w:val="000000"/>
        </w:rPr>
        <w:t>Duritz</w:t>
      </w:r>
      <w:proofErr w:type="spellEnd"/>
      <w:r>
        <w:rPr>
          <w:color w:val="000000"/>
        </w:rPr>
        <w:t xml:space="preserve">, </w:t>
      </w:r>
      <w:r w:rsidR="000C2577" w:rsidRPr="000C2577">
        <w:t>Vice President, Health and Family, AARP State and National Group, Education and Outreach,</w:t>
      </w:r>
      <w:r w:rsidR="000C2577">
        <w:rPr>
          <w:color w:val="000000"/>
        </w:rPr>
        <w:t xml:space="preserve"> </w:t>
      </w:r>
      <w:r>
        <w:rPr>
          <w:color w:val="000000"/>
        </w:rPr>
        <w:t>AARP, 202-434-3968</w:t>
      </w:r>
      <w:r w:rsidR="00585969">
        <w:rPr>
          <w:color w:val="000000"/>
        </w:rPr>
        <w:t>,</w:t>
      </w:r>
      <w:r>
        <w:rPr>
          <w:color w:val="000000"/>
        </w:rPr>
        <w:t xml:space="preserve"> </w:t>
      </w:r>
      <w:r w:rsidRPr="009E60A6">
        <w:t>nduritz@aarp.org</w:t>
      </w:r>
      <w:r>
        <w:rPr>
          <w:color w:val="000000"/>
        </w:rPr>
        <w:t xml:space="preserve"> </w:t>
      </w:r>
    </w:p>
    <w:p w:rsidR="00096145" w:rsidRPr="00520BA5" w:rsidRDefault="002B23C2" w:rsidP="00BD1CAC">
      <w:pPr>
        <w:ind w:left="720" w:hanging="720"/>
      </w:pPr>
      <w:r w:rsidRPr="00520BA5">
        <w:t xml:space="preserve">Steven P. Wallace, </w:t>
      </w:r>
      <w:r w:rsidR="00180FF8">
        <w:t>PhD,</w:t>
      </w:r>
      <w:r w:rsidR="00DD11ED">
        <w:t xml:space="preserve"> </w:t>
      </w:r>
      <w:r w:rsidRPr="00520BA5">
        <w:t xml:space="preserve">Associate Director, UCLA Center for Health Policy Research, </w:t>
      </w:r>
      <w:r w:rsidR="00C21721" w:rsidRPr="00520BA5">
        <w:t>310-794-0910,</w:t>
      </w:r>
      <w:r w:rsidR="00C21721" w:rsidRPr="00520BA5">
        <w:rPr>
          <w:color w:val="1F497D"/>
        </w:rPr>
        <w:t xml:space="preserve"> </w:t>
      </w:r>
      <w:r w:rsidRPr="009E60A6">
        <w:t>swallace@ucla.edu</w:t>
      </w:r>
      <w:r w:rsidR="00125669">
        <w:t xml:space="preserve"> </w:t>
      </w:r>
    </w:p>
    <w:sectPr w:rsidR="00096145" w:rsidRPr="00520BA5" w:rsidSect="008E2B87">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2E" w:rsidRDefault="009A132E" w:rsidP="0003757F">
      <w:r>
        <w:separator/>
      </w:r>
    </w:p>
  </w:endnote>
  <w:endnote w:type="continuationSeparator" w:id="0">
    <w:p w:rsidR="009A132E" w:rsidRDefault="009A132E" w:rsidP="0003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36458"/>
      <w:docPartObj>
        <w:docPartGallery w:val="Page Numbers (Bottom of Page)"/>
        <w:docPartUnique/>
      </w:docPartObj>
    </w:sdtPr>
    <w:sdtEndPr>
      <w:rPr>
        <w:noProof/>
      </w:rPr>
    </w:sdtEndPr>
    <w:sdtContent>
      <w:p w:rsidR="00D81A46" w:rsidRDefault="001F2168">
        <w:pPr>
          <w:pStyle w:val="Footer"/>
          <w:jc w:val="center"/>
        </w:pPr>
        <w:r>
          <w:fldChar w:fldCharType="begin"/>
        </w:r>
        <w:r w:rsidR="00D81A46">
          <w:instrText xml:space="preserve"> PAGE   \* MERGEFORMAT </w:instrText>
        </w:r>
        <w:r>
          <w:fldChar w:fldCharType="separate"/>
        </w:r>
        <w:r w:rsidR="00503ADC">
          <w:rPr>
            <w:noProof/>
          </w:rPr>
          <w:t>18</w:t>
        </w:r>
        <w:r>
          <w:rPr>
            <w:noProof/>
          </w:rPr>
          <w:fldChar w:fldCharType="end"/>
        </w:r>
      </w:p>
    </w:sdtContent>
  </w:sdt>
  <w:p w:rsidR="00D81A46" w:rsidRPr="0096489E" w:rsidRDefault="00D81A46" w:rsidP="009648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2E" w:rsidRDefault="009A132E" w:rsidP="0003757F">
      <w:r>
        <w:separator/>
      </w:r>
    </w:p>
  </w:footnote>
  <w:footnote w:type="continuationSeparator" w:id="0">
    <w:p w:rsidR="009A132E" w:rsidRDefault="009A132E" w:rsidP="000375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F1345CA"/>
    <w:multiLevelType w:val="multilevel"/>
    <w:tmpl w:val="4BA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15B93"/>
    <w:multiLevelType w:val="hybridMultilevel"/>
    <w:tmpl w:val="CEB0BE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74DB9"/>
    <w:multiLevelType w:val="hybridMultilevel"/>
    <w:tmpl w:val="F8F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41627"/>
    <w:multiLevelType w:val="hybridMultilevel"/>
    <w:tmpl w:val="27DA28CE"/>
    <w:lvl w:ilvl="0" w:tplc="B9F2ECA4">
      <w:start w:val="1"/>
      <w:numFmt w:val="bullet"/>
      <w:lvlText w:val="•"/>
      <w:lvlJc w:val="left"/>
      <w:pPr>
        <w:tabs>
          <w:tab w:val="num" w:pos="720"/>
        </w:tabs>
        <w:ind w:left="720" w:hanging="360"/>
      </w:pPr>
      <w:rPr>
        <w:rFonts w:ascii="Times New Roman" w:hAnsi="Times New Roman" w:hint="default"/>
      </w:rPr>
    </w:lvl>
    <w:lvl w:ilvl="1" w:tplc="E41A6958">
      <w:start w:val="1"/>
      <w:numFmt w:val="bullet"/>
      <w:lvlText w:val="•"/>
      <w:lvlJc w:val="left"/>
      <w:pPr>
        <w:tabs>
          <w:tab w:val="num" w:pos="1440"/>
        </w:tabs>
        <w:ind w:left="1440" w:hanging="360"/>
      </w:pPr>
      <w:rPr>
        <w:rFonts w:ascii="Times New Roman" w:hAnsi="Times New Roman" w:hint="default"/>
      </w:rPr>
    </w:lvl>
    <w:lvl w:ilvl="2" w:tplc="CDB2C320" w:tentative="1">
      <w:start w:val="1"/>
      <w:numFmt w:val="bullet"/>
      <w:lvlText w:val="•"/>
      <w:lvlJc w:val="left"/>
      <w:pPr>
        <w:tabs>
          <w:tab w:val="num" w:pos="2160"/>
        </w:tabs>
        <w:ind w:left="2160" w:hanging="360"/>
      </w:pPr>
      <w:rPr>
        <w:rFonts w:ascii="Times New Roman" w:hAnsi="Times New Roman" w:hint="default"/>
      </w:rPr>
    </w:lvl>
    <w:lvl w:ilvl="3" w:tplc="256AB73A" w:tentative="1">
      <w:start w:val="1"/>
      <w:numFmt w:val="bullet"/>
      <w:lvlText w:val="•"/>
      <w:lvlJc w:val="left"/>
      <w:pPr>
        <w:tabs>
          <w:tab w:val="num" w:pos="2880"/>
        </w:tabs>
        <w:ind w:left="2880" w:hanging="360"/>
      </w:pPr>
      <w:rPr>
        <w:rFonts w:ascii="Times New Roman" w:hAnsi="Times New Roman" w:hint="default"/>
      </w:rPr>
    </w:lvl>
    <w:lvl w:ilvl="4" w:tplc="AC525A7E" w:tentative="1">
      <w:start w:val="1"/>
      <w:numFmt w:val="bullet"/>
      <w:lvlText w:val="•"/>
      <w:lvlJc w:val="left"/>
      <w:pPr>
        <w:tabs>
          <w:tab w:val="num" w:pos="3600"/>
        </w:tabs>
        <w:ind w:left="3600" w:hanging="360"/>
      </w:pPr>
      <w:rPr>
        <w:rFonts w:ascii="Times New Roman" w:hAnsi="Times New Roman" w:hint="default"/>
      </w:rPr>
    </w:lvl>
    <w:lvl w:ilvl="5" w:tplc="F5126B32" w:tentative="1">
      <w:start w:val="1"/>
      <w:numFmt w:val="bullet"/>
      <w:lvlText w:val="•"/>
      <w:lvlJc w:val="left"/>
      <w:pPr>
        <w:tabs>
          <w:tab w:val="num" w:pos="4320"/>
        </w:tabs>
        <w:ind w:left="4320" w:hanging="360"/>
      </w:pPr>
      <w:rPr>
        <w:rFonts w:ascii="Times New Roman" w:hAnsi="Times New Roman" w:hint="default"/>
      </w:rPr>
    </w:lvl>
    <w:lvl w:ilvl="6" w:tplc="D9DC86EE" w:tentative="1">
      <w:start w:val="1"/>
      <w:numFmt w:val="bullet"/>
      <w:lvlText w:val="•"/>
      <w:lvlJc w:val="left"/>
      <w:pPr>
        <w:tabs>
          <w:tab w:val="num" w:pos="5040"/>
        </w:tabs>
        <w:ind w:left="5040" w:hanging="360"/>
      </w:pPr>
      <w:rPr>
        <w:rFonts w:ascii="Times New Roman" w:hAnsi="Times New Roman" w:hint="default"/>
      </w:rPr>
    </w:lvl>
    <w:lvl w:ilvl="7" w:tplc="B8E4B23C" w:tentative="1">
      <w:start w:val="1"/>
      <w:numFmt w:val="bullet"/>
      <w:lvlText w:val="•"/>
      <w:lvlJc w:val="left"/>
      <w:pPr>
        <w:tabs>
          <w:tab w:val="num" w:pos="5760"/>
        </w:tabs>
        <w:ind w:left="5760" w:hanging="360"/>
      </w:pPr>
      <w:rPr>
        <w:rFonts w:ascii="Times New Roman" w:hAnsi="Times New Roman" w:hint="default"/>
      </w:rPr>
    </w:lvl>
    <w:lvl w:ilvl="8" w:tplc="261EAF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E84DF0"/>
    <w:multiLevelType w:val="hybridMultilevel"/>
    <w:tmpl w:val="D78CD68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39A33C0"/>
    <w:multiLevelType w:val="hybridMultilevel"/>
    <w:tmpl w:val="131EE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4474F"/>
    <w:multiLevelType w:val="hybridMultilevel"/>
    <w:tmpl w:val="93A6F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13333"/>
    <w:multiLevelType w:val="hybridMultilevel"/>
    <w:tmpl w:val="F49EE6E4"/>
    <w:lvl w:ilvl="0" w:tplc="FFFFFFFF">
      <w:start w:val="1"/>
      <w:numFmt w:val="bullet"/>
      <w:lvlText w:val=""/>
      <w:lvlJc w:val="left"/>
      <w:pPr>
        <w:ind w:left="720" w:hanging="360"/>
      </w:pPr>
      <w:rPr>
        <w:rFonts w:ascii="Wingdings" w:hAnsi="Wingdings" w:hint="default"/>
        <w:b/>
        <w:sz w:val="24"/>
      </w:rPr>
    </w:lvl>
    <w:lvl w:ilvl="1" w:tplc="FFFFFFFF" w:tentative="1">
      <w:start w:val="1"/>
      <w:numFmt w:val="bullet"/>
      <w:lvlText w:val="o"/>
      <w:lvlJc w:val="left"/>
      <w:pPr>
        <w:ind w:left="1440" w:hanging="360"/>
      </w:pPr>
      <w:rPr>
        <w:rFonts w:ascii="Courier New" w:hAnsi="Courier New" w:cs="Adobe Garamond Pr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dobe Garamond Pr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dobe Garamond Pro"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3AA632C"/>
    <w:multiLevelType w:val="hybridMultilevel"/>
    <w:tmpl w:val="D18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F"/>
    <w:rsid w:val="000032EC"/>
    <w:rsid w:val="00010074"/>
    <w:rsid w:val="00025DC6"/>
    <w:rsid w:val="00026D0B"/>
    <w:rsid w:val="00035681"/>
    <w:rsid w:val="0003757F"/>
    <w:rsid w:val="00045B75"/>
    <w:rsid w:val="00046B6A"/>
    <w:rsid w:val="0005776E"/>
    <w:rsid w:val="00060547"/>
    <w:rsid w:val="00060AB2"/>
    <w:rsid w:val="000613DE"/>
    <w:rsid w:val="00061B8A"/>
    <w:rsid w:val="00064C86"/>
    <w:rsid w:val="000673B1"/>
    <w:rsid w:val="00070AED"/>
    <w:rsid w:val="00081030"/>
    <w:rsid w:val="000835B3"/>
    <w:rsid w:val="00087AD0"/>
    <w:rsid w:val="000946D8"/>
    <w:rsid w:val="00096145"/>
    <w:rsid w:val="00097988"/>
    <w:rsid w:val="000A1C40"/>
    <w:rsid w:val="000B38CA"/>
    <w:rsid w:val="000B5ABF"/>
    <w:rsid w:val="000B6107"/>
    <w:rsid w:val="000B6E18"/>
    <w:rsid w:val="000C0B0D"/>
    <w:rsid w:val="000C2577"/>
    <w:rsid w:val="000C43A9"/>
    <w:rsid w:val="000D083B"/>
    <w:rsid w:val="000D1ED7"/>
    <w:rsid w:val="000D2CC0"/>
    <w:rsid w:val="000D6F44"/>
    <w:rsid w:val="000D77BB"/>
    <w:rsid w:val="000E61AE"/>
    <w:rsid w:val="000F369D"/>
    <w:rsid w:val="001034B6"/>
    <w:rsid w:val="00103C34"/>
    <w:rsid w:val="00104B25"/>
    <w:rsid w:val="00105314"/>
    <w:rsid w:val="0010550D"/>
    <w:rsid w:val="001119BF"/>
    <w:rsid w:val="001150A4"/>
    <w:rsid w:val="0011726F"/>
    <w:rsid w:val="001212C8"/>
    <w:rsid w:val="00125669"/>
    <w:rsid w:val="00140D77"/>
    <w:rsid w:val="001415F4"/>
    <w:rsid w:val="001448B6"/>
    <w:rsid w:val="00145E93"/>
    <w:rsid w:val="00147CA1"/>
    <w:rsid w:val="00150060"/>
    <w:rsid w:val="00151978"/>
    <w:rsid w:val="00151CF6"/>
    <w:rsid w:val="00160195"/>
    <w:rsid w:val="00176EB5"/>
    <w:rsid w:val="00177AC1"/>
    <w:rsid w:val="00180FF8"/>
    <w:rsid w:val="00182FCB"/>
    <w:rsid w:val="001874D0"/>
    <w:rsid w:val="0019121C"/>
    <w:rsid w:val="001917C5"/>
    <w:rsid w:val="001A2ED9"/>
    <w:rsid w:val="001A690A"/>
    <w:rsid w:val="001A73D0"/>
    <w:rsid w:val="001B20A2"/>
    <w:rsid w:val="001B280F"/>
    <w:rsid w:val="001C2BFB"/>
    <w:rsid w:val="001D0FDC"/>
    <w:rsid w:val="001D419D"/>
    <w:rsid w:val="001D6B40"/>
    <w:rsid w:val="001D7B2A"/>
    <w:rsid w:val="001E36F4"/>
    <w:rsid w:val="001F0EFE"/>
    <w:rsid w:val="001F2168"/>
    <w:rsid w:val="001F4709"/>
    <w:rsid w:val="00201AA1"/>
    <w:rsid w:val="00201E19"/>
    <w:rsid w:val="002029DD"/>
    <w:rsid w:val="00203189"/>
    <w:rsid w:val="002034E3"/>
    <w:rsid w:val="00206401"/>
    <w:rsid w:val="0021220F"/>
    <w:rsid w:val="00215F7C"/>
    <w:rsid w:val="002174C2"/>
    <w:rsid w:val="002175B1"/>
    <w:rsid w:val="00221D91"/>
    <w:rsid w:val="00235F44"/>
    <w:rsid w:val="0023671D"/>
    <w:rsid w:val="0024362C"/>
    <w:rsid w:val="00243976"/>
    <w:rsid w:val="00244C39"/>
    <w:rsid w:val="0024732C"/>
    <w:rsid w:val="00251905"/>
    <w:rsid w:val="00252C8F"/>
    <w:rsid w:val="00261007"/>
    <w:rsid w:val="0026385A"/>
    <w:rsid w:val="0026465C"/>
    <w:rsid w:val="002647CB"/>
    <w:rsid w:val="00267FF4"/>
    <w:rsid w:val="00272590"/>
    <w:rsid w:val="002761C3"/>
    <w:rsid w:val="002779C3"/>
    <w:rsid w:val="00293724"/>
    <w:rsid w:val="0029624A"/>
    <w:rsid w:val="002A0761"/>
    <w:rsid w:val="002A68CC"/>
    <w:rsid w:val="002B068A"/>
    <w:rsid w:val="002B23C2"/>
    <w:rsid w:val="002B3165"/>
    <w:rsid w:val="002B3C3B"/>
    <w:rsid w:val="002B4EB2"/>
    <w:rsid w:val="002B7045"/>
    <w:rsid w:val="002C100E"/>
    <w:rsid w:val="002D7C96"/>
    <w:rsid w:val="002E08C6"/>
    <w:rsid w:val="002E472A"/>
    <w:rsid w:val="0030406F"/>
    <w:rsid w:val="00306173"/>
    <w:rsid w:val="003205F3"/>
    <w:rsid w:val="00321E94"/>
    <w:rsid w:val="00324BD8"/>
    <w:rsid w:val="00332B53"/>
    <w:rsid w:val="00335CA2"/>
    <w:rsid w:val="003407F1"/>
    <w:rsid w:val="0034338A"/>
    <w:rsid w:val="0034589C"/>
    <w:rsid w:val="003470AA"/>
    <w:rsid w:val="00347CA4"/>
    <w:rsid w:val="00350387"/>
    <w:rsid w:val="003562D1"/>
    <w:rsid w:val="00356399"/>
    <w:rsid w:val="003609DA"/>
    <w:rsid w:val="00365205"/>
    <w:rsid w:val="003671A3"/>
    <w:rsid w:val="0038159E"/>
    <w:rsid w:val="003858E8"/>
    <w:rsid w:val="00396F89"/>
    <w:rsid w:val="003A05E3"/>
    <w:rsid w:val="003A1A44"/>
    <w:rsid w:val="003B5EB4"/>
    <w:rsid w:val="003C4CCF"/>
    <w:rsid w:val="003D47D9"/>
    <w:rsid w:val="003D4A52"/>
    <w:rsid w:val="003E1E26"/>
    <w:rsid w:val="003E7334"/>
    <w:rsid w:val="003E7792"/>
    <w:rsid w:val="003F2451"/>
    <w:rsid w:val="00400951"/>
    <w:rsid w:val="004024F2"/>
    <w:rsid w:val="00405E8B"/>
    <w:rsid w:val="00410687"/>
    <w:rsid w:val="00413377"/>
    <w:rsid w:val="00417C1C"/>
    <w:rsid w:val="00421C81"/>
    <w:rsid w:val="00423D58"/>
    <w:rsid w:val="004247DD"/>
    <w:rsid w:val="00431AA9"/>
    <w:rsid w:val="00443C56"/>
    <w:rsid w:val="00445CCA"/>
    <w:rsid w:val="00447528"/>
    <w:rsid w:val="00454657"/>
    <w:rsid w:val="00455636"/>
    <w:rsid w:val="004564AF"/>
    <w:rsid w:val="00456A68"/>
    <w:rsid w:val="004578F9"/>
    <w:rsid w:val="00464063"/>
    <w:rsid w:val="00471C75"/>
    <w:rsid w:val="00473595"/>
    <w:rsid w:val="00476CBE"/>
    <w:rsid w:val="00481FFF"/>
    <w:rsid w:val="00484E36"/>
    <w:rsid w:val="00490C71"/>
    <w:rsid w:val="00492997"/>
    <w:rsid w:val="004A4B4F"/>
    <w:rsid w:val="004A561A"/>
    <w:rsid w:val="004B1D74"/>
    <w:rsid w:val="004B7D46"/>
    <w:rsid w:val="004C5BB0"/>
    <w:rsid w:val="004E49D8"/>
    <w:rsid w:val="004E5975"/>
    <w:rsid w:val="004E755B"/>
    <w:rsid w:val="004F1392"/>
    <w:rsid w:val="004F3448"/>
    <w:rsid w:val="00500610"/>
    <w:rsid w:val="00503ADC"/>
    <w:rsid w:val="005053E2"/>
    <w:rsid w:val="005056F6"/>
    <w:rsid w:val="00506A3B"/>
    <w:rsid w:val="00520BA5"/>
    <w:rsid w:val="00522381"/>
    <w:rsid w:val="00531748"/>
    <w:rsid w:val="00532CD1"/>
    <w:rsid w:val="00534AE2"/>
    <w:rsid w:val="00562825"/>
    <w:rsid w:val="00563888"/>
    <w:rsid w:val="00566FE1"/>
    <w:rsid w:val="00567139"/>
    <w:rsid w:val="00570151"/>
    <w:rsid w:val="00570A27"/>
    <w:rsid w:val="00573DF4"/>
    <w:rsid w:val="005767F5"/>
    <w:rsid w:val="00585969"/>
    <w:rsid w:val="0058620C"/>
    <w:rsid w:val="00595102"/>
    <w:rsid w:val="005A0B22"/>
    <w:rsid w:val="005A469F"/>
    <w:rsid w:val="005B0280"/>
    <w:rsid w:val="005B5D3A"/>
    <w:rsid w:val="005C14ED"/>
    <w:rsid w:val="005D399E"/>
    <w:rsid w:val="005E0591"/>
    <w:rsid w:val="005E1F2B"/>
    <w:rsid w:val="005E5293"/>
    <w:rsid w:val="005E6C99"/>
    <w:rsid w:val="00600439"/>
    <w:rsid w:val="00604389"/>
    <w:rsid w:val="00613341"/>
    <w:rsid w:val="00614B44"/>
    <w:rsid w:val="0062189C"/>
    <w:rsid w:val="00625DD7"/>
    <w:rsid w:val="00626D7C"/>
    <w:rsid w:val="00630C10"/>
    <w:rsid w:val="006334EF"/>
    <w:rsid w:val="00633D99"/>
    <w:rsid w:val="00635E10"/>
    <w:rsid w:val="00641CEC"/>
    <w:rsid w:val="00643907"/>
    <w:rsid w:val="0064527C"/>
    <w:rsid w:val="00652BFA"/>
    <w:rsid w:val="00661219"/>
    <w:rsid w:val="00663029"/>
    <w:rsid w:val="006643D1"/>
    <w:rsid w:val="00670313"/>
    <w:rsid w:val="00677501"/>
    <w:rsid w:val="006809BD"/>
    <w:rsid w:val="00686818"/>
    <w:rsid w:val="006876A8"/>
    <w:rsid w:val="00687919"/>
    <w:rsid w:val="00697DAD"/>
    <w:rsid w:val="006A19F8"/>
    <w:rsid w:val="006A6D00"/>
    <w:rsid w:val="006A731F"/>
    <w:rsid w:val="006C18A5"/>
    <w:rsid w:val="006C3C4B"/>
    <w:rsid w:val="006D4E46"/>
    <w:rsid w:val="006D7B05"/>
    <w:rsid w:val="006E28A2"/>
    <w:rsid w:val="006E5ACA"/>
    <w:rsid w:val="006E5E16"/>
    <w:rsid w:val="006E67A4"/>
    <w:rsid w:val="006F1BF9"/>
    <w:rsid w:val="006F335A"/>
    <w:rsid w:val="007046E7"/>
    <w:rsid w:val="0070666B"/>
    <w:rsid w:val="007136EE"/>
    <w:rsid w:val="00713E2C"/>
    <w:rsid w:val="00715F2D"/>
    <w:rsid w:val="00723B48"/>
    <w:rsid w:val="0073520F"/>
    <w:rsid w:val="007360C2"/>
    <w:rsid w:val="007538BC"/>
    <w:rsid w:val="007620D1"/>
    <w:rsid w:val="00763CE2"/>
    <w:rsid w:val="00765888"/>
    <w:rsid w:val="007713EC"/>
    <w:rsid w:val="00771604"/>
    <w:rsid w:val="00772CA6"/>
    <w:rsid w:val="00774AA1"/>
    <w:rsid w:val="007831F6"/>
    <w:rsid w:val="007921A1"/>
    <w:rsid w:val="00796F7B"/>
    <w:rsid w:val="00797746"/>
    <w:rsid w:val="00797D98"/>
    <w:rsid w:val="007A30E2"/>
    <w:rsid w:val="007A377E"/>
    <w:rsid w:val="007B543F"/>
    <w:rsid w:val="007B5448"/>
    <w:rsid w:val="007B6212"/>
    <w:rsid w:val="007C4E5C"/>
    <w:rsid w:val="007C626E"/>
    <w:rsid w:val="007D2F37"/>
    <w:rsid w:val="007D64C6"/>
    <w:rsid w:val="007E4892"/>
    <w:rsid w:val="007E612C"/>
    <w:rsid w:val="007E63C3"/>
    <w:rsid w:val="007E7303"/>
    <w:rsid w:val="007F29A5"/>
    <w:rsid w:val="00802574"/>
    <w:rsid w:val="00802BC8"/>
    <w:rsid w:val="00802C78"/>
    <w:rsid w:val="008037D0"/>
    <w:rsid w:val="00804FC7"/>
    <w:rsid w:val="008115F3"/>
    <w:rsid w:val="00812CCE"/>
    <w:rsid w:val="008137E8"/>
    <w:rsid w:val="008156D7"/>
    <w:rsid w:val="00822F50"/>
    <w:rsid w:val="00834FE8"/>
    <w:rsid w:val="0083602B"/>
    <w:rsid w:val="00850FB8"/>
    <w:rsid w:val="008517E6"/>
    <w:rsid w:val="00856826"/>
    <w:rsid w:val="0086172B"/>
    <w:rsid w:val="008635C4"/>
    <w:rsid w:val="00870B11"/>
    <w:rsid w:val="0087562E"/>
    <w:rsid w:val="00881A42"/>
    <w:rsid w:val="00882C0E"/>
    <w:rsid w:val="00883477"/>
    <w:rsid w:val="00891BD1"/>
    <w:rsid w:val="00897071"/>
    <w:rsid w:val="008A51DB"/>
    <w:rsid w:val="008B1757"/>
    <w:rsid w:val="008B7530"/>
    <w:rsid w:val="008D3B60"/>
    <w:rsid w:val="008D5533"/>
    <w:rsid w:val="008D572D"/>
    <w:rsid w:val="008E2B87"/>
    <w:rsid w:val="008E3851"/>
    <w:rsid w:val="008E42AA"/>
    <w:rsid w:val="008E6384"/>
    <w:rsid w:val="008E7ED6"/>
    <w:rsid w:val="008F04B2"/>
    <w:rsid w:val="008F577D"/>
    <w:rsid w:val="008F57C8"/>
    <w:rsid w:val="008F75FF"/>
    <w:rsid w:val="009015C6"/>
    <w:rsid w:val="00914962"/>
    <w:rsid w:val="00917B81"/>
    <w:rsid w:val="009204B1"/>
    <w:rsid w:val="00921365"/>
    <w:rsid w:val="00924AAC"/>
    <w:rsid w:val="009275EF"/>
    <w:rsid w:val="00940053"/>
    <w:rsid w:val="0094086E"/>
    <w:rsid w:val="00943E27"/>
    <w:rsid w:val="00944A29"/>
    <w:rsid w:val="00945690"/>
    <w:rsid w:val="00961048"/>
    <w:rsid w:val="00961463"/>
    <w:rsid w:val="00961CC3"/>
    <w:rsid w:val="0096489E"/>
    <w:rsid w:val="00972491"/>
    <w:rsid w:val="00977D82"/>
    <w:rsid w:val="00985507"/>
    <w:rsid w:val="00987D9A"/>
    <w:rsid w:val="009969A8"/>
    <w:rsid w:val="00997121"/>
    <w:rsid w:val="0099727D"/>
    <w:rsid w:val="009A040D"/>
    <w:rsid w:val="009A132E"/>
    <w:rsid w:val="009A3D7C"/>
    <w:rsid w:val="009A4AFA"/>
    <w:rsid w:val="009B44E6"/>
    <w:rsid w:val="009C3CE8"/>
    <w:rsid w:val="009D3CE1"/>
    <w:rsid w:val="009D6BA6"/>
    <w:rsid w:val="009E60A6"/>
    <w:rsid w:val="009E6D53"/>
    <w:rsid w:val="00A01E67"/>
    <w:rsid w:val="00A02EDF"/>
    <w:rsid w:val="00A05B2E"/>
    <w:rsid w:val="00A131D4"/>
    <w:rsid w:val="00A202A8"/>
    <w:rsid w:val="00A2041A"/>
    <w:rsid w:val="00A22744"/>
    <w:rsid w:val="00A24449"/>
    <w:rsid w:val="00A27A98"/>
    <w:rsid w:val="00A47934"/>
    <w:rsid w:val="00A523C4"/>
    <w:rsid w:val="00A52C66"/>
    <w:rsid w:val="00A53E4A"/>
    <w:rsid w:val="00A57937"/>
    <w:rsid w:val="00A60A50"/>
    <w:rsid w:val="00A61521"/>
    <w:rsid w:val="00A64110"/>
    <w:rsid w:val="00A7011E"/>
    <w:rsid w:val="00A75B7C"/>
    <w:rsid w:val="00A80244"/>
    <w:rsid w:val="00A8362F"/>
    <w:rsid w:val="00A879EF"/>
    <w:rsid w:val="00A93681"/>
    <w:rsid w:val="00A968DA"/>
    <w:rsid w:val="00AA1F67"/>
    <w:rsid w:val="00AA660B"/>
    <w:rsid w:val="00AB3502"/>
    <w:rsid w:val="00AB6269"/>
    <w:rsid w:val="00AC2E28"/>
    <w:rsid w:val="00AC419A"/>
    <w:rsid w:val="00AD2788"/>
    <w:rsid w:val="00AD385F"/>
    <w:rsid w:val="00AD3F89"/>
    <w:rsid w:val="00AD63A6"/>
    <w:rsid w:val="00AD68BA"/>
    <w:rsid w:val="00AD7067"/>
    <w:rsid w:val="00AD7672"/>
    <w:rsid w:val="00AE3CFA"/>
    <w:rsid w:val="00AE3DD2"/>
    <w:rsid w:val="00AE3DE9"/>
    <w:rsid w:val="00AE7893"/>
    <w:rsid w:val="00AF3905"/>
    <w:rsid w:val="00B03D3D"/>
    <w:rsid w:val="00B0517A"/>
    <w:rsid w:val="00B1316A"/>
    <w:rsid w:val="00B206C5"/>
    <w:rsid w:val="00B314A2"/>
    <w:rsid w:val="00B3198D"/>
    <w:rsid w:val="00B33996"/>
    <w:rsid w:val="00B405F3"/>
    <w:rsid w:val="00B42AAD"/>
    <w:rsid w:val="00B4576D"/>
    <w:rsid w:val="00B47509"/>
    <w:rsid w:val="00B47FFE"/>
    <w:rsid w:val="00B5133B"/>
    <w:rsid w:val="00B55FBC"/>
    <w:rsid w:val="00B5623B"/>
    <w:rsid w:val="00B61248"/>
    <w:rsid w:val="00B6129F"/>
    <w:rsid w:val="00B73E88"/>
    <w:rsid w:val="00B760A7"/>
    <w:rsid w:val="00B80FA0"/>
    <w:rsid w:val="00B82580"/>
    <w:rsid w:val="00B85A76"/>
    <w:rsid w:val="00B86137"/>
    <w:rsid w:val="00B87DCF"/>
    <w:rsid w:val="00B923A0"/>
    <w:rsid w:val="00B93BF4"/>
    <w:rsid w:val="00B96FBA"/>
    <w:rsid w:val="00BA46B9"/>
    <w:rsid w:val="00BB1791"/>
    <w:rsid w:val="00BB19A0"/>
    <w:rsid w:val="00BC0D95"/>
    <w:rsid w:val="00BC2D59"/>
    <w:rsid w:val="00BC3601"/>
    <w:rsid w:val="00BC47C4"/>
    <w:rsid w:val="00BC5EA7"/>
    <w:rsid w:val="00BC73C2"/>
    <w:rsid w:val="00BD1CAC"/>
    <w:rsid w:val="00BD48FB"/>
    <w:rsid w:val="00BD7BF2"/>
    <w:rsid w:val="00BD7CD8"/>
    <w:rsid w:val="00BE28EB"/>
    <w:rsid w:val="00BE31D1"/>
    <w:rsid w:val="00BF3FA0"/>
    <w:rsid w:val="00BF6C51"/>
    <w:rsid w:val="00C02CD3"/>
    <w:rsid w:val="00C06F01"/>
    <w:rsid w:val="00C17738"/>
    <w:rsid w:val="00C21096"/>
    <w:rsid w:val="00C21721"/>
    <w:rsid w:val="00C24D70"/>
    <w:rsid w:val="00C26C9C"/>
    <w:rsid w:val="00C30430"/>
    <w:rsid w:val="00C3336D"/>
    <w:rsid w:val="00C340C6"/>
    <w:rsid w:val="00C34332"/>
    <w:rsid w:val="00C42778"/>
    <w:rsid w:val="00C431D1"/>
    <w:rsid w:val="00C43631"/>
    <w:rsid w:val="00C44B98"/>
    <w:rsid w:val="00C46710"/>
    <w:rsid w:val="00C506AE"/>
    <w:rsid w:val="00C544FB"/>
    <w:rsid w:val="00C5590A"/>
    <w:rsid w:val="00C55C4C"/>
    <w:rsid w:val="00C56446"/>
    <w:rsid w:val="00C67323"/>
    <w:rsid w:val="00C7081A"/>
    <w:rsid w:val="00C72DED"/>
    <w:rsid w:val="00C73E36"/>
    <w:rsid w:val="00C77570"/>
    <w:rsid w:val="00C8067C"/>
    <w:rsid w:val="00C8568E"/>
    <w:rsid w:val="00C87B0E"/>
    <w:rsid w:val="00C93B5B"/>
    <w:rsid w:val="00C97E4C"/>
    <w:rsid w:val="00CA03BA"/>
    <w:rsid w:val="00CA1D36"/>
    <w:rsid w:val="00CA5E11"/>
    <w:rsid w:val="00CB5F3D"/>
    <w:rsid w:val="00CC238A"/>
    <w:rsid w:val="00CC3AF8"/>
    <w:rsid w:val="00CC439E"/>
    <w:rsid w:val="00CC7210"/>
    <w:rsid w:val="00CD1154"/>
    <w:rsid w:val="00CD774E"/>
    <w:rsid w:val="00CE04D8"/>
    <w:rsid w:val="00CF181E"/>
    <w:rsid w:val="00CF423C"/>
    <w:rsid w:val="00D011C0"/>
    <w:rsid w:val="00D03F19"/>
    <w:rsid w:val="00D106E6"/>
    <w:rsid w:val="00D11719"/>
    <w:rsid w:val="00D1199F"/>
    <w:rsid w:val="00D11F37"/>
    <w:rsid w:val="00D122C4"/>
    <w:rsid w:val="00D15D87"/>
    <w:rsid w:val="00D245CA"/>
    <w:rsid w:val="00D250A0"/>
    <w:rsid w:val="00D32C32"/>
    <w:rsid w:val="00D3459C"/>
    <w:rsid w:val="00D36D14"/>
    <w:rsid w:val="00D4214D"/>
    <w:rsid w:val="00D568C5"/>
    <w:rsid w:val="00D56B5E"/>
    <w:rsid w:val="00D570CA"/>
    <w:rsid w:val="00D623E7"/>
    <w:rsid w:val="00D71025"/>
    <w:rsid w:val="00D72EEB"/>
    <w:rsid w:val="00D751F3"/>
    <w:rsid w:val="00D812F6"/>
    <w:rsid w:val="00D81A46"/>
    <w:rsid w:val="00D82F15"/>
    <w:rsid w:val="00D9078A"/>
    <w:rsid w:val="00D9369A"/>
    <w:rsid w:val="00D94642"/>
    <w:rsid w:val="00DA51A7"/>
    <w:rsid w:val="00DB0ECD"/>
    <w:rsid w:val="00DB4106"/>
    <w:rsid w:val="00DC003A"/>
    <w:rsid w:val="00DC2959"/>
    <w:rsid w:val="00DC3579"/>
    <w:rsid w:val="00DC56D5"/>
    <w:rsid w:val="00DD0A75"/>
    <w:rsid w:val="00DD1164"/>
    <w:rsid w:val="00DD11ED"/>
    <w:rsid w:val="00DE10CD"/>
    <w:rsid w:val="00DE12DC"/>
    <w:rsid w:val="00DE1337"/>
    <w:rsid w:val="00DE515A"/>
    <w:rsid w:val="00DE5A8F"/>
    <w:rsid w:val="00DF08D2"/>
    <w:rsid w:val="00DF1781"/>
    <w:rsid w:val="00DF23A0"/>
    <w:rsid w:val="00DF638A"/>
    <w:rsid w:val="00E148E6"/>
    <w:rsid w:val="00E20F91"/>
    <w:rsid w:val="00E32607"/>
    <w:rsid w:val="00E41D7E"/>
    <w:rsid w:val="00E427D7"/>
    <w:rsid w:val="00E47263"/>
    <w:rsid w:val="00E47304"/>
    <w:rsid w:val="00E53E5D"/>
    <w:rsid w:val="00E57521"/>
    <w:rsid w:val="00E62312"/>
    <w:rsid w:val="00E67D96"/>
    <w:rsid w:val="00E83AB5"/>
    <w:rsid w:val="00E845F8"/>
    <w:rsid w:val="00E861F2"/>
    <w:rsid w:val="00E90A88"/>
    <w:rsid w:val="00E950C5"/>
    <w:rsid w:val="00EA1280"/>
    <w:rsid w:val="00EA14E0"/>
    <w:rsid w:val="00EA323A"/>
    <w:rsid w:val="00EA6BB2"/>
    <w:rsid w:val="00EA6C1D"/>
    <w:rsid w:val="00EA77B1"/>
    <w:rsid w:val="00EB3554"/>
    <w:rsid w:val="00EC3908"/>
    <w:rsid w:val="00EC6148"/>
    <w:rsid w:val="00ED44BC"/>
    <w:rsid w:val="00EE40DF"/>
    <w:rsid w:val="00EF5F9C"/>
    <w:rsid w:val="00EF61A9"/>
    <w:rsid w:val="00EF6D6B"/>
    <w:rsid w:val="00F022DC"/>
    <w:rsid w:val="00F120E3"/>
    <w:rsid w:val="00F13516"/>
    <w:rsid w:val="00F1713D"/>
    <w:rsid w:val="00F24633"/>
    <w:rsid w:val="00F25183"/>
    <w:rsid w:val="00F35A54"/>
    <w:rsid w:val="00F362B7"/>
    <w:rsid w:val="00F36371"/>
    <w:rsid w:val="00F36904"/>
    <w:rsid w:val="00F375D1"/>
    <w:rsid w:val="00F42BD5"/>
    <w:rsid w:val="00F50BE1"/>
    <w:rsid w:val="00F52C78"/>
    <w:rsid w:val="00F53E4B"/>
    <w:rsid w:val="00F54342"/>
    <w:rsid w:val="00F548F4"/>
    <w:rsid w:val="00F554FA"/>
    <w:rsid w:val="00F61D78"/>
    <w:rsid w:val="00F630E5"/>
    <w:rsid w:val="00F64D83"/>
    <w:rsid w:val="00F65F88"/>
    <w:rsid w:val="00F73C73"/>
    <w:rsid w:val="00F82386"/>
    <w:rsid w:val="00F84DDB"/>
    <w:rsid w:val="00F90CA5"/>
    <w:rsid w:val="00FA2383"/>
    <w:rsid w:val="00FA6F87"/>
    <w:rsid w:val="00FA76AE"/>
    <w:rsid w:val="00FB02E7"/>
    <w:rsid w:val="00FB0F4E"/>
    <w:rsid w:val="00FB1E1A"/>
    <w:rsid w:val="00FB5F50"/>
    <w:rsid w:val="00FB6B22"/>
    <w:rsid w:val="00FD2125"/>
    <w:rsid w:val="00FD59EE"/>
    <w:rsid w:val="00FE1AE1"/>
    <w:rsid w:val="00FE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F"/>
    <w:pPr>
      <w:spacing w:after="0" w:line="240" w:lineRule="auto"/>
    </w:pPr>
    <w:rPr>
      <w:rFonts w:ascii="Times New Roman" w:eastAsia="Calibri" w:hAnsi="Times New Roman" w:cs="Times New Roman"/>
      <w:sz w:val="20"/>
      <w:szCs w:val="20"/>
    </w:rPr>
  </w:style>
  <w:style w:type="paragraph" w:styleId="Heading1">
    <w:name w:val="heading 1"/>
    <w:basedOn w:val="Normal"/>
    <w:link w:val="Heading1Char"/>
    <w:uiPriority w:val="9"/>
    <w:qFormat/>
    <w:rsid w:val="00C24D70"/>
    <w:pPr>
      <w:spacing w:before="100" w:beforeAutospacing="1" w:after="18"/>
      <w:outlineLvl w:val="0"/>
    </w:pPr>
    <w:rPr>
      <w:rFonts w:ascii="Arial" w:eastAsia="Times New Roman" w:hAnsi="Arial" w:cs="Arial"/>
      <w:b/>
      <w:bCs/>
      <w:kern w:val="36"/>
      <w:sz w:val="48"/>
      <w:szCs w:val="48"/>
    </w:rPr>
  </w:style>
  <w:style w:type="paragraph" w:styleId="Heading3">
    <w:name w:val="heading 3"/>
    <w:basedOn w:val="Normal"/>
    <w:next w:val="Normal"/>
    <w:link w:val="Heading3Char"/>
    <w:uiPriority w:val="9"/>
    <w:semiHidden/>
    <w:unhideWhenUsed/>
    <w:qFormat/>
    <w:rsid w:val="005951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7F"/>
    <w:rPr>
      <w:color w:val="0000FF"/>
      <w:u w:val="single"/>
    </w:rPr>
  </w:style>
  <w:style w:type="paragraph" w:styleId="Footer">
    <w:name w:val="footer"/>
    <w:basedOn w:val="Normal"/>
    <w:link w:val="FooterChar"/>
    <w:uiPriority w:val="99"/>
    <w:unhideWhenUsed/>
    <w:rsid w:val="0003757F"/>
    <w:pPr>
      <w:tabs>
        <w:tab w:val="center" w:pos="4680"/>
        <w:tab w:val="right" w:pos="9360"/>
      </w:tabs>
    </w:pPr>
  </w:style>
  <w:style w:type="character" w:customStyle="1" w:styleId="FooterChar">
    <w:name w:val="Footer Char"/>
    <w:basedOn w:val="DefaultParagraphFont"/>
    <w:link w:val="Footer"/>
    <w:uiPriority w:val="99"/>
    <w:rsid w:val="0003757F"/>
    <w:rPr>
      <w:rFonts w:ascii="Times New Roman" w:eastAsia="Calibri" w:hAnsi="Times New Roman" w:cs="Times New Roman"/>
      <w:sz w:val="20"/>
      <w:szCs w:val="20"/>
    </w:rPr>
  </w:style>
  <w:style w:type="character" w:customStyle="1" w:styleId="orgs1">
    <w:name w:val="orgs1"/>
    <w:basedOn w:val="DefaultParagraphFont"/>
    <w:rsid w:val="0003757F"/>
  </w:style>
  <w:style w:type="paragraph" w:styleId="EndnoteText">
    <w:name w:val="endnote text"/>
    <w:basedOn w:val="Normal"/>
    <w:link w:val="EndnoteTextChar"/>
    <w:uiPriority w:val="99"/>
    <w:unhideWhenUsed/>
    <w:rsid w:val="0003757F"/>
  </w:style>
  <w:style w:type="character" w:customStyle="1" w:styleId="EndnoteTextChar">
    <w:name w:val="Endnote Text Char"/>
    <w:basedOn w:val="DefaultParagraphFont"/>
    <w:link w:val="EndnoteText"/>
    <w:uiPriority w:val="99"/>
    <w:rsid w:val="0003757F"/>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03757F"/>
    <w:rPr>
      <w:vertAlign w:val="superscript"/>
    </w:rPr>
  </w:style>
  <w:style w:type="paragraph" w:customStyle="1" w:styleId="Default">
    <w:name w:val="Default"/>
    <w:rsid w:val="0003757F"/>
    <w:pPr>
      <w:autoSpaceDE w:val="0"/>
      <w:autoSpaceDN w:val="0"/>
      <w:adjustRightInd w:val="0"/>
      <w:spacing w:after="0" w:line="240" w:lineRule="auto"/>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03757F"/>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C24D70"/>
    <w:rPr>
      <w:rFonts w:ascii="Arial" w:eastAsia="Times New Roman" w:hAnsi="Arial" w:cs="Arial"/>
      <w:b/>
      <w:bCs/>
      <w:kern w:val="36"/>
      <w:sz w:val="48"/>
      <w:szCs w:val="48"/>
    </w:rPr>
  </w:style>
  <w:style w:type="character" w:customStyle="1" w:styleId="tp-label">
    <w:name w:val="tp-label"/>
    <w:basedOn w:val="DefaultParagraphFont"/>
    <w:rsid w:val="006A731F"/>
  </w:style>
  <w:style w:type="character" w:customStyle="1" w:styleId="plugins">
    <w:name w:val="plugins"/>
    <w:basedOn w:val="DefaultParagraphFont"/>
    <w:rsid w:val="006A731F"/>
  </w:style>
  <w:style w:type="paragraph" w:styleId="BalloonText">
    <w:name w:val="Balloon Text"/>
    <w:basedOn w:val="Normal"/>
    <w:link w:val="BalloonTextChar"/>
    <w:uiPriority w:val="99"/>
    <w:semiHidden/>
    <w:unhideWhenUsed/>
    <w:rsid w:val="006A731F"/>
    <w:rPr>
      <w:rFonts w:ascii="Tahoma" w:hAnsi="Tahoma" w:cs="Tahoma"/>
      <w:sz w:val="16"/>
      <w:szCs w:val="16"/>
    </w:rPr>
  </w:style>
  <w:style w:type="character" w:customStyle="1" w:styleId="BalloonTextChar">
    <w:name w:val="Balloon Text Char"/>
    <w:basedOn w:val="DefaultParagraphFont"/>
    <w:link w:val="BalloonText"/>
    <w:uiPriority w:val="99"/>
    <w:semiHidden/>
    <w:rsid w:val="006A731F"/>
    <w:rPr>
      <w:rFonts w:ascii="Tahoma" w:eastAsia="Calibri" w:hAnsi="Tahoma" w:cs="Tahoma"/>
      <w:sz w:val="16"/>
      <w:szCs w:val="16"/>
    </w:rPr>
  </w:style>
  <w:style w:type="character" w:styleId="FollowedHyperlink">
    <w:name w:val="FollowedHyperlink"/>
    <w:basedOn w:val="DefaultParagraphFont"/>
    <w:uiPriority w:val="99"/>
    <w:semiHidden/>
    <w:unhideWhenUsed/>
    <w:rsid w:val="006A731F"/>
    <w:rPr>
      <w:color w:val="800080" w:themeColor="followedHyperlink"/>
      <w:u w:val="single"/>
    </w:rPr>
  </w:style>
  <w:style w:type="paragraph" w:styleId="NoSpacing">
    <w:name w:val="No Spacing"/>
    <w:uiPriority w:val="1"/>
    <w:qFormat/>
    <w:rsid w:val="000C43A9"/>
    <w:pPr>
      <w:spacing w:after="0" w:line="240" w:lineRule="auto"/>
    </w:pPr>
  </w:style>
  <w:style w:type="paragraph" w:styleId="NormalWeb">
    <w:name w:val="Normal (Web)"/>
    <w:basedOn w:val="Normal"/>
    <w:uiPriority w:val="99"/>
    <w:semiHidden/>
    <w:unhideWhenUsed/>
    <w:rsid w:val="00961048"/>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A93681"/>
  </w:style>
  <w:style w:type="character" w:customStyle="1" w:styleId="FootnoteTextChar">
    <w:name w:val="Footnote Text Char"/>
    <w:basedOn w:val="DefaultParagraphFont"/>
    <w:link w:val="FootnoteText"/>
    <w:uiPriority w:val="99"/>
    <w:semiHidden/>
    <w:rsid w:val="00A9368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93681"/>
    <w:rPr>
      <w:vertAlign w:val="superscript"/>
    </w:rPr>
  </w:style>
  <w:style w:type="character" w:customStyle="1" w:styleId="Heading3Char">
    <w:name w:val="Heading 3 Char"/>
    <w:basedOn w:val="DefaultParagraphFont"/>
    <w:link w:val="Heading3"/>
    <w:uiPriority w:val="9"/>
    <w:semiHidden/>
    <w:rsid w:val="00595102"/>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C8067C"/>
    <w:pPr>
      <w:tabs>
        <w:tab w:val="center" w:pos="4680"/>
        <w:tab w:val="right" w:pos="9360"/>
      </w:tabs>
    </w:pPr>
  </w:style>
  <w:style w:type="character" w:customStyle="1" w:styleId="HeaderChar">
    <w:name w:val="Header Char"/>
    <w:basedOn w:val="DefaultParagraphFont"/>
    <w:link w:val="Header"/>
    <w:uiPriority w:val="99"/>
    <w:rsid w:val="00C8067C"/>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01AA1"/>
    <w:rPr>
      <w:sz w:val="16"/>
      <w:szCs w:val="16"/>
    </w:rPr>
  </w:style>
  <w:style w:type="paragraph" w:styleId="CommentText">
    <w:name w:val="annotation text"/>
    <w:basedOn w:val="Normal"/>
    <w:link w:val="CommentTextChar"/>
    <w:uiPriority w:val="99"/>
    <w:semiHidden/>
    <w:unhideWhenUsed/>
    <w:rsid w:val="00201AA1"/>
  </w:style>
  <w:style w:type="character" w:customStyle="1" w:styleId="CommentTextChar">
    <w:name w:val="Comment Text Char"/>
    <w:basedOn w:val="DefaultParagraphFont"/>
    <w:link w:val="CommentText"/>
    <w:uiPriority w:val="99"/>
    <w:semiHidden/>
    <w:rsid w:val="00201A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AA1"/>
    <w:rPr>
      <w:b/>
      <w:bCs/>
    </w:rPr>
  </w:style>
  <w:style w:type="character" w:customStyle="1" w:styleId="CommentSubjectChar">
    <w:name w:val="Comment Subject Char"/>
    <w:basedOn w:val="CommentTextChar"/>
    <w:link w:val="CommentSubject"/>
    <w:uiPriority w:val="99"/>
    <w:semiHidden/>
    <w:rsid w:val="00201AA1"/>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F"/>
    <w:pPr>
      <w:spacing w:after="0" w:line="240" w:lineRule="auto"/>
    </w:pPr>
    <w:rPr>
      <w:rFonts w:ascii="Times New Roman" w:eastAsia="Calibri" w:hAnsi="Times New Roman" w:cs="Times New Roman"/>
      <w:sz w:val="20"/>
      <w:szCs w:val="20"/>
    </w:rPr>
  </w:style>
  <w:style w:type="paragraph" w:styleId="Heading1">
    <w:name w:val="heading 1"/>
    <w:basedOn w:val="Normal"/>
    <w:link w:val="Heading1Char"/>
    <w:uiPriority w:val="9"/>
    <w:qFormat/>
    <w:rsid w:val="00C24D70"/>
    <w:pPr>
      <w:spacing w:before="100" w:beforeAutospacing="1" w:after="18"/>
      <w:outlineLvl w:val="0"/>
    </w:pPr>
    <w:rPr>
      <w:rFonts w:ascii="Arial" w:eastAsia="Times New Roman" w:hAnsi="Arial" w:cs="Arial"/>
      <w:b/>
      <w:bCs/>
      <w:kern w:val="36"/>
      <w:sz w:val="48"/>
      <w:szCs w:val="48"/>
    </w:rPr>
  </w:style>
  <w:style w:type="paragraph" w:styleId="Heading3">
    <w:name w:val="heading 3"/>
    <w:basedOn w:val="Normal"/>
    <w:next w:val="Normal"/>
    <w:link w:val="Heading3Char"/>
    <w:uiPriority w:val="9"/>
    <w:semiHidden/>
    <w:unhideWhenUsed/>
    <w:qFormat/>
    <w:rsid w:val="005951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7F"/>
    <w:rPr>
      <w:color w:val="0000FF"/>
      <w:u w:val="single"/>
    </w:rPr>
  </w:style>
  <w:style w:type="paragraph" w:styleId="Footer">
    <w:name w:val="footer"/>
    <w:basedOn w:val="Normal"/>
    <w:link w:val="FooterChar"/>
    <w:uiPriority w:val="99"/>
    <w:unhideWhenUsed/>
    <w:rsid w:val="0003757F"/>
    <w:pPr>
      <w:tabs>
        <w:tab w:val="center" w:pos="4680"/>
        <w:tab w:val="right" w:pos="9360"/>
      </w:tabs>
    </w:pPr>
  </w:style>
  <w:style w:type="character" w:customStyle="1" w:styleId="FooterChar">
    <w:name w:val="Footer Char"/>
    <w:basedOn w:val="DefaultParagraphFont"/>
    <w:link w:val="Footer"/>
    <w:uiPriority w:val="99"/>
    <w:rsid w:val="0003757F"/>
    <w:rPr>
      <w:rFonts w:ascii="Times New Roman" w:eastAsia="Calibri" w:hAnsi="Times New Roman" w:cs="Times New Roman"/>
      <w:sz w:val="20"/>
      <w:szCs w:val="20"/>
    </w:rPr>
  </w:style>
  <w:style w:type="character" w:customStyle="1" w:styleId="orgs1">
    <w:name w:val="orgs1"/>
    <w:basedOn w:val="DefaultParagraphFont"/>
    <w:rsid w:val="0003757F"/>
  </w:style>
  <w:style w:type="paragraph" w:styleId="EndnoteText">
    <w:name w:val="endnote text"/>
    <w:basedOn w:val="Normal"/>
    <w:link w:val="EndnoteTextChar"/>
    <w:uiPriority w:val="99"/>
    <w:unhideWhenUsed/>
    <w:rsid w:val="0003757F"/>
  </w:style>
  <w:style w:type="character" w:customStyle="1" w:styleId="EndnoteTextChar">
    <w:name w:val="Endnote Text Char"/>
    <w:basedOn w:val="DefaultParagraphFont"/>
    <w:link w:val="EndnoteText"/>
    <w:uiPriority w:val="99"/>
    <w:rsid w:val="0003757F"/>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03757F"/>
    <w:rPr>
      <w:vertAlign w:val="superscript"/>
    </w:rPr>
  </w:style>
  <w:style w:type="paragraph" w:customStyle="1" w:styleId="Default">
    <w:name w:val="Default"/>
    <w:rsid w:val="0003757F"/>
    <w:pPr>
      <w:autoSpaceDE w:val="0"/>
      <w:autoSpaceDN w:val="0"/>
      <w:adjustRightInd w:val="0"/>
      <w:spacing w:after="0" w:line="240" w:lineRule="auto"/>
    </w:pPr>
    <w:rPr>
      <w:rFonts w:ascii="Century Schoolbook" w:eastAsia="Calibri" w:hAnsi="Century Schoolbook" w:cs="Century Schoolbook"/>
      <w:color w:val="000000"/>
      <w:sz w:val="24"/>
      <w:szCs w:val="24"/>
    </w:rPr>
  </w:style>
  <w:style w:type="paragraph" w:styleId="ListParagraph">
    <w:name w:val="List Paragraph"/>
    <w:basedOn w:val="Normal"/>
    <w:uiPriority w:val="34"/>
    <w:qFormat/>
    <w:rsid w:val="0003757F"/>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C24D70"/>
    <w:rPr>
      <w:rFonts w:ascii="Arial" w:eastAsia="Times New Roman" w:hAnsi="Arial" w:cs="Arial"/>
      <w:b/>
      <w:bCs/>
      <w:kern w:val="36"/>
      <w:sz w:val="48"/>
      <w:szCs w:val="48"/>
    </w:rPr>
  </w:style>
  <w:style w:type="character" w:customStyle="1" w:styleId="tp-label">
    <w:name w:val="tp-label"/>
    <w:basedOn w:val="DefaultParagraphFont"/>
    <w:rsid w:val="006A731F"/>
  </w:style>
  <w:style w:type="character" w:customStyle="1" w:styleId="plugins">
    <w:name w:val="plugins"/>
    <w:basedOn w:val="DefaultParagraphFont"/>
    <w:rsid w:val="006A731F"/>
  </w:style>
  <w:style w:type="paragraph" w:styleId="BalloonText">
    <w:name w:val="Balloon Text"/>
    <w:basedOn w:val="Normal"/>
    <w:link w:val="BalloonTextChar"/>
    <w:uiPriority w:val="99"/>
    <w:semiHidden/>
    <w:unhideWhenUsed/>
    <w:rsid w:val="006A731F"/>
    <w:rPr>
      <w:rFonts w:ascii="Tahoma" w:hAnsi="Tahoma" w:cs="Tahoma"/>
      <w:sz w:val="16"/>
      <w:szCs w:val="16"/>
    </w:rPr>
  </w:style>
  <w:style w:type="character" w:customStyle="1" w:styleId="BalloonTextChar">
    <w:name w:val="Balloon Text Char"/>
    <w:basedOn w:val="DefaultParagraphFont"/>
    <w:link w:val="BalloonText"/>
    <w:uiPriority w:val="99"/>
    <w:semiHidden/>
    <w:rsid w:val="006A731F"/>
    <w:rPr>
      <w:rFonts w:ascii="Tahoma" w:eastAsia="Calibri" w:hAnsi="Tahoma" w:cs="Tahoma"/>
      <w:sz w:val="16"/>
      <w:szCs w:val="16"/>
    </w:rPr>
  </w:style>
  <w:style w:type="character" w:styleId="FollowedHyperlink">
    <w:name w:val="FollowedHyperlink"/>
    <w:basedOn w:val="DefaultParagraphFont"/>
    <w:uiPriority w:val="99"/>
    <w:semiHidden/>
    <w:unhideWhenUsed/>
    <w:rsid w:val="006A731F"/>
    <w:rPr>
      <w:color w:val="800080" w:themeColor="followedHyperlink"/>
      <w:u w:val="single"/>
    </w:rPr>
  </w:style>
  <w:style w:type="paragraph" w:styleId="NoSpacing">
    <w:name w:val="No Spacing"/>
    <w:uiPriority w:val="1"/>
    <w:qFormat/>
    <w:rsid w:val="000C43A9"/>
    <w:pPr>
      <w:spacing w:after="0" w:line="240" w:lineRule="auto"/>
    </w:pPr>
  </w:style>
  <w:style w:type="paragraph" w:styleId="NormalWeb">
    <w:name w:val="Normal (Web)"/>
    <w:basedOn w:val="Normal"/>
    <w:uiPriority w:val="99"/>
    <w:semiHidden/>
    <w:unhideWhenUsed/>
    <w:rsid w:val="00961048"/>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unhideWhenUsed/>
    <w:rsid w:val="00A93681"/>
  </w:style>
  <w:style w:type="character" w:customStyle="1" w:styleId="FootnoteTextChar">
    <w:name w:val="Footnote Text Char"/>
    <w:basedOn w:val="DefaultParagraphFont"/>
    <w:link w:val="FootnoteText"/>
    <w:uiPriority w:val="99"/>
    <w:semiHidden/>
    <w:rsid w:val="00A9368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93681"/>
    <w:rPr>
      <w:vertAlign w:val="superscript"/>
    </w:rPr>
  </w:style>
  <w:style w:type="character" w:customStyle="1" w:styleId="Heading3Char">
    <w:name w:val="Heading 3 Char"/>
    <w:basedOn w:val="DefaultParagraphFont"/>
    <w:link w:val="Heading3"/>
    <w:uiPriority w:val="9"/>
    <w:semiHidden/>
    <w:rsid w:val="00595102"/>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C8067C"/>
    <w:pPr>
      <w:tabs>
        <w:tab w:val="center" w:pos="4680"/>
        <w:tab w:val="right" w:pos="9360"/>
      </w:tabs>
    </w:pPr>
  </w:style>
  <w:style w:type="character" w:customStyle="1" w:styleId="HeaderChar">
    <w:name w:val="Header Char"/>
    <w:basedOn w:val="DefaultParagraphFont"/>
    <w:link w:val="Header"/>
    <w:uiPriority w:val="99"/>
    <w:rsid w:val="00C8067C"/>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201AA1"/>
    <w:rPr>
      <w:sz w:val="16"/>
      <w:szCs w:val="16"/>
    </w:rPr>
  </w:style>
  <w:style w:type="paragraph" w:styleId="CommentText">
    <w:name w:val="annotation text"/>
    <w:basedOn w:val="Normal"/>
    <w:link w:val="CommentTextChar"/>
    <w:uiPriority w:val="99"/>
    <w:semiHidden/>
    <w:unhideWhenUsed/>
    <w:rsid w:val="00201AA1"/>
  </w:style>
  <w:style w:type="character" w:customStyle="1" w:styleId="CommentTextChar">
    <w:name w:val="Comment Text Char"/>
    <w:basedOn w:val="DefaultParagraphFont"/>
    <w:link w:val="CommentText"/>
    <w:uiPriority w:val="99"/>
    <w:semiHidden/>
    <w:rsid w:val="00201A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AA1"/>
    <w:rPr>
      <w:b/>
      <w:bCs/>
    </w:rPr>
  </w:style>
  <w:style w:type="character" w:customStyle="1" w:styleId="CommentSubjectChar">
    <w:name w:val="Comment Subject Char"/>
    <w:basedOn w:val="CommentTextChar"/>
    <w:link w:val="CommentSubject"/>
    <w:uiPriority w:val="99"/>
    <w:semiHidden/>
    <w:rsid w:val="00201AA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4422">
      <w:bodyDiv w:val="1"/>
      <w:marLeft w:val="0"/>
      <w:marRight w:val="0"/>
      <w:marTop w:val="0"/>
      <w:marBottom w:val="0"/>
      <w:divBdr>
        <w:top w:val="none" w:sz="0" w:space="0" w:color="auto"/>
        <w:left w:val="none" w:sz="0" w:space="0" w:color="auto"/>
        <w:bottom w:val="none" w:sz="0" w:space="0" w:color="auto"/>
        <w:right w:val="none" w:sz="0" w:space="0" w:color="auto"/>
      </w:divBdr>
      <w:divsChild>
        <w:div w:id="204484091">
          <w:marLeft w:val="0"/>
          <w:marRight w:val="0"/>
          <w:marTop w:val="0"/>
          <w:marBottom w:val="0"/>
          <w:divBdr>
            <w:top w:val="none" w:sz="0" w:space="0" w:color="auto"/>
            <w:left w:val="none" w:sz="0" w:space="0" w:color="auto"/>
            <w:bottom w:val="none" w:sz="0" w:space="0" w:color="auto"/>
            <w:right w:val="none" w:sz="0" w:space="0" w:color="auto"/>
          </w:divBdr>
          <w:divsChild>
            <w:div w:id="1877816150">
              <w:marLeft w:val="0"/>
              <w:marRight w:val="0"/>
              <w:marTop w:val="0"/>
              <w:marBottom w:val="0"/>
              <w:divBdr>
                <w:top w:val="none" w:sz="0" w:space="0" w:color="auto"/>
                <w:left w:val="none" w:sz="0" w:space="0" w:color="auto"/>
                <w:bottom w:val="none" w:sz="0" w:space="0" w:color="auto"/>
                <w:right w:val="none" w:sz="0" w:space="0" w:color="auto"/>
              </w:divBdr>
              <w:divsChild>
                <w:div w:id="361975873">
                  <w:marLeft w:val="0"/>
                  <w:marRight w:val="0"/>
                  <w:marTop w:val="0"/>
                  <w:marBottom w:val="0"/>
                  <w:divBdr>
                    <w:top w:val="none" w:sz="0" w:space="0" w:color="auto"/>
                    <w:left w:val="none" w:sz="0" w:space="0" w:color="auto"/>
                    <w:bottom w:val="none" w:sz="0" w:space="0" w:color="auto"/>
                    <w:right w:val="none" w:sz="0" w:space="0" w:color="auto"/>
                  </w:divBdr>
                  <w:divsChild>
                    <w:div w:id="102194997">
                      <w:marLeft w:val="2160"/>
                      <w:marRight w:val="2364"/>
                      <w:marTop w:val="0"/>
                      <w:marBottom w:val="0"/>
                      <w:divBdr>
                        <w:top w:val="none" w:sz="0" w:space="0" w:color="auto"/>
                        <w:left w:val="none" w:sz="0" w:space="0" w:color="auto"/>
                        <w:bottom w:val="none" w:sz="0" w:space="0" w:color="auto"/>
                        <w:right w:val="none" w:sz="0" w:space="0" w:color="auto"/>
                      </w:divBdr>
                      <w:divsChild>
                        <w:div w:id="1422481434">
                          <w:marLeft w:val="0"/>
                          <w:marRight w:val="0"/>
                          <w:marTop w:val="0"/>
                          <w:marBottom w:val="0"/>
                          <w:divBdr>
                            <w:top w:val="none" w:sz="0" w:space="0" w:color="auto"/>
                            <w:left w:val="none" w:sz="0" w:space="0" w:color="auto"/>
                            <w:bottom w:val="none" w:sz="0" w:space="0" w:color="auto"/>
                            <w:right w:val="none" w:sz="0" w:space="0" w:color="auto"/>
                          </w:divBdr>
                          <w:divsChild>
                            <w:div w:id="1134559815">
                              <w:marLeft w:val="0"/>
                              <w:marRight w:val="0"/>
                              <w:marTop w:val="0"/>
                              <w:marBottom w:val="0"/>
                              <w:divBdr>
                                <w:top w:val="none" w:sz="0" w:space="0" w:color="auto"/>
                                <w:left w:val="none" w:sz="0" w:space="0" w:color="auto"/>
                                <w:bottom w:val="none" w:sz="0" w:space="0" w:color="auto"/>
                                <w:right w:val="none" w:sz="0" w:space="0" w:color="auto"/>
                              </w:divBdr>
                              <w:divsChild>
                                <w:div w:id="13674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496">
                          <w:marLeft w:val="0"/>
                          <w:marRight w:val="0"/>
                          <w:marTop w:val="0"/>
                          <w:marBottom w:val="0"/>
                          <w:divBdr>
                            <w:top w:val="none" w:sz="0" w:space="0" w:color="auto"/>
                            <w:left w:val="none" w:sz="0" w:space="0" w:color="auto"/>
                            <w:bottom w:val="none" w:sz="0" w:space="0" w:color="auto"/>
                            <w:right w:val="none" w:sz="0" w:space="0" w:color="auto"/>
                          </w:divBdr>
                          <w:divsChild>
                            <w:div w:id="10035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8000">
      <w:bodyDiv w:val="1"/>
      <w:marLeft w:val="0"/>
      <w:marRight w:val="0"/>
      <w:marTop w:val="0"/>
      <w:marBottom w:val="0"/>
      <w:divBdr>
        <w:top w:val="none" w:sz="0" w:space="0" w:color="auto"/>
        <w:left w:val="none" w:sz="0" w:space="0" w:color="auto"/>
        <w:bottom w:val="none" w:sz="0" w:space="0" w:color="auto"/>
        <w:right w:val="none" w:sz="0" w:space="0" w:color="auto"/>
      </w:divBdr>
    </w:div>
    <w:div w:id="300812285">
      <w:bodyDiv w:val="1"/>
      <w:marLeft w:val="0"/>
      <w:marRight w:val="0"/>
      <w:marTop w:val="0"/>
      <w:marBottom w:val="0"/>
      <w:divBdr>
        <w:top w:val="none" w:sz="0" w:space="0" w:color="auto"/>
        <w:left w:val="none" w:sz="0" w:space="0" w:color="auto"/>
        <w:bottom w:val="none" w:sz="0" w:space="0" w:color="auto"/>
        <w:right w:val="none" w:sz="0" w:space="0" w:color="auto"/>
      </w:divBdr>
    </w:div>
    <w:div w:id="357319010">
      <w:bodyDiv w:val="1"/>
      <w:marLeft w:val="3"/>
      <w:marRight w:val="3"/>
      <w:marTop w:val="3"/>
      <w:marBottom w:val="3"/>
      <w:divBdr>
        <w:top w:val="none" w:sz="0" w:space="0" w:color="auto"/>
        <w:left w:val="none" w:sz="0" w:space="0" w:color="auto"/>
        <w:bottom w:val="none" w:sz="0" w:space="0" w:color="auto"/>
        <w:right w:val="none" w:sz="0" w:space="0" w:color="auto"/>
      </w:divBdr>
      <w:divsChild>
        <w:div w:id="1066487801">
          <w:marLeft w:val="0"/>
          <w:marRight w:val="0"/>
          <w:marTop w:val="0"/>
          <w:marBottom w:val="0"/>
          <w:divBdr>
            <w:top w:val="none" w:sz="0" w:space="0" w:color="auto"/>
            <w:left w:val="none" w:sz="0" w:space="0" w:color="auto"/>
            <w:bottom w:val="none" w:sz="0" w:space="0" w:color="auto"/>
            <w:right w:val="none" w:sz="0" w:space="0" w:color="auto"/>
          </w:divBdr>
          <w:divsChild>
            <w:div w:id="1195775953">
              <w:marLeft w:val="0"/>
              <w:marRight w:val="0"/>
              <w:marTop w:val="0"/>
              <w:marBottom w:val="0"/>
              <w:divBdr>
                <w:top w:val="none" w:sz="0" w:space="0" w:color="auto"/>
                <w:left w:val="none" w:sz="0" w:space="0" w:color="auto"/>
                <w:bottom w:val="none" w:sz="0" w:space="0" w:color="auto"/>
                <w:right w:val="none" w:sz="0" w:space="0" w:color="auto"/>
              </w:divBdr>
              <w:divsChild>
                <w:div w:id="1353385192">
                  <w:marLeft w:val="0"/>
                  <w:marRight w:val="0"/>
                  <w:marTop w:val="0"/>
                  <w:marBottom w:val="144"/>
                  <w:divBdr>
                    <w:top w:val="none" w:sz="0" w:space="0" w:color="auto"/>
                    <w:left w:val="none" w:sz="0" w:space="0" w:color="auto"/>
                    <w:bottom w:val="none" w:sz="0" w:space="0" w:color="auto"/>
                    <w:right w:val="none" w:sz="0" w:space="0" w:color="auto"/>
                  </w:divBdr>
                  <w:divsChild>
                    <w:div w:id="1296957595">
                      <w:marLeft w:val="0"/>
                      <w:marRight w:val="0"/>
                      <w:marTop w:val="0"/>
                      <w:marBottom w:val="0"/>
                      <w:divBdr>
                        <w:top w:val="none" w:sz="0" w:space="0" w:color="auto"/>
                        <w:left w:val="none" w:sz="0" w:space="0" w:color="auto"/>
                        <w:bottom w:val="none" w:sz="0" w:space="0" w:color="auto"/>
                        <w:right w:val="none" w:sz="0" w:space="0" w:color="auto"/>
                      </w:divBdr>
                      <w:divsChild>
                        <w:div w:id="2085443185">
                          <w:marLeft w:val="0"/>
                          <w:marRight w:val="0"/>
                          <w:marTop w:val="0"/>
                          <w:marBottom w:val="0"/>
                          <w:divBdr>
                            <w:top w:val="none" w:sz="0" w:space="0" w:color="auto"/>
                            <w:left w:val="none" w:sz="0" w:space="0" w:color="auto"/>
                            <w:bottom w:val="none" w:sz="0" w:space="0" w:color="auto"/>
                            <w:right w:val="none" w:sz="0" w:space="0" w:color="auto"/>
                          </w:divBdr>
                          <w:divsChild>
                            <w:div w:id="1783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25263">
      <w:bodyDiv w:val="1"/>
      <w:marLeft w:val="0"/>
      <w:marRight w:val="0"/>
      <w:marTop w:val="0"/>
      <w:marBottom w:val="0"/>
      <w:divBdr>
        <w:top w:val="none" w:sz="0" w:space="0" w:color="auto"/>
        <w:left w:val="none" w:sz="0" w:space="0" w:color="auto"/>
        <w:bottom w:val="none" w:sz="0" w:space="0" w:color="auto"/>
        <w:right w:val="none" w:sz="0" w:space="0" w:color="auto"/>
      </w:divBdr>
    </w:div>
    <w:div w:id="678190943">
      <w:bodyDiv w:val="1"/>
      <w:marLeft w:val="0"/>
      <w:marRight w:val="0"/>
      <w:marTop w:val="0"/>
      <w:marBottom w:val="0"/>
      <w:divBdr>
        <w:top w:val="none" w:sz="0" w:space="0" w:color="auto"/>
        <w:left w:val="none" w:sz="0" w:space="0" w:color="auto"/>
        <w:bottom w:val="none" w:sz="0" w:space="0" w:color="auto"/>
        <w:right w:val="none" w:sz="0" w:space="0" w:color="auto"/>
      </w:divBdr>
    </w:div>
    <w:div w:id="809592734">
      <w:bodyDiv w:val="1"/>
      <w:marLeft w:val="2"/>
      <w:marRight w:val="2"/>
      <w:marTop w:val="2"/>
      <w:marBottom w:val="2"/>
      <w:divBdr>
        <w:top w:val="none" w:sz="0" w:space="0" w:color="auto"/>
        <w:left w:val="none" w:sz="0" w:space="0" w:color="auto"/>
        <w:bottom w:val="none" w:sz="0" w:space="0" w:color="auto"/>
        <w:right w:val="none" w:sz="0" w:space="0" w:color="auto"/>
      </w:divBdr>
      <w:divsChild>
        <w:div w:id="525561741">
          <w:marLeft w:val="0"/>
          <w:marRight w:val="0"/>
          <w:marTop w:val="0"/>
          <w:marBottom w:val="0"/>
          <w:divBdr>
            <w:top w:val="none" w:sz="0" w:space="0" w:color="auto"/>
            <w:left w:val="none" w:sz="0" w:space="0" w:color="auto"/>
            <w:bottom w:val="none" w:sz="0" w:space="0" w:color="auto"/>
            <w:right w:val="none" w:sz="0" w:space="0" w:color="auto"/>
          </w:divBdr>
          <w:divsChild>
            <w:div w:id="150633631">
              <w:marLeft w:val="0"/>
              <w:marRight w:val="0"/>
              <w:marTop w:val="0"/>
              <w:marBottom w:val="0"/>
              <w:divBdr>
                <w:top w:val="none" w:sz="0" w:space="0" w:color="auto"/>
                <w:left w:val="none" w:sz="0" w:space="0" w:color="auto"/>
                <w:bottom w:val="none" w:sz="0" w:space="0" w:color="auto"/>
                <w:right w:val="none" w:sz="0" w:space="0" w:color="auto"/>
              </w:divBdr>
              <w:divsChild>
                <w:div w:id="1080523878">
                  <w:marLeft w:val="0"/>
                  <w:marRight w:val="0"/>
                  <w:marTop w:val="0"/>
                  <w:marBottom w:val="111"/>
                  <w:divBdr>
                    <w:top w:val="none" w:sz="0" w:space="0" w:color="auto"/>
                    <w:left w:val="none" w:sz="0" w:space="0" w:color="auto"/>
                    <w:bottom w:val="none" w:sz="0" w:space="0" w:color="auto"/>
                    <w:right w:val="none" w:sz="0" w:space="0" w:color="auto"/>
                  </w:divBdr>
                  <w:divsChild>
                    <w:div w:id="683168699">
                      <w:marLeft w:val="0"/>
                      <w:marRight w:val="0"/>
                      <w:marTop w:val="0"/>
                      <w:marBottom w:val="0"/>
                      <w:divBdr>
                        <w:top w:val="none" w:sz="0" w:space="0" w:color="auto"/>
                        <w:left w:val="none" w:sz="0" w:space="0" w:color="auto"/>
                        <w:bottom w:val="none" w:sz="0" w:space="0" w:color="auto"/>
                        <w:right w:val="none" w:sz="0" w:space="0" w:color="auto"/>
                      </w:divBdr>
                      <w:divsChild>
                        <w:div w:id="1261136831">
                          <w:marLeft w:val="0"/>
                          <w:marRight w:val="0"/>
                          <w:marTop w:val="0"/>
                          <w:marBottom w:val="0"/>
                          <w:divBdr>
                            <w:top w:val="none" w:sz="0" w:space="0" w:color="auto"/>
                            <w:left w:val="none" w:sz="0" w:space="0" w:color="auto"/>
                            <w:bottom w:val="none" w:sz="0" w:space="0" w:color="auto"/>
                            <w:right w:val="none" w:sz="0" w:space="0" w:color="auto"/>
                          </w:divBdr>
                          <w:divsChild>
                            <w:div w:id="4997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8455">
      <w:bodyDiv w:val="1"/>
      <w:marLeft w:val="46"/>
      <w:marRight w:val="46"/>
      <w:marTop w:val="46"/>
      <w:marBottom w:val="46"/>
      <w:divBdr>
        <w:top w:val="none" w:sz="0" w:space="0" w:color="auto"/>
        <w:left w:val="none" w:sz="0" w:space="0" w:color="auto"/>
        <w:bottom w:val="none" w:sz="0" w:space="0" w:color="auto"/>
        <w:right w:val="none" w:sz="0" w:space="0" w:color="auto"/>
      </w:divBdr>
      <w:divsChild>
        <w:div w:id="1547527193">
          <w:marLeft w:val="74"/>
          <w:marRight w:val="0"/>
          <w:marTop w:val="92"/>
          <w:marBottom w:val="0"/>
          <w:divBdr>
            <w:top w:val="none" w:sz="0" w:space="0" w:color="auto"/>
            <w:left w:val="none" w:sz="0" w:space="0" w:color="auto"/>
            <w:bottom w:val="none" w:sz="0" w:space="0" w:color="auto"/>
            <w:right w:val="none" w:sz="0" w:space="0" w:color="auto"/>
          </w:divBdr>
          <w:divsChild>
            <w:div w:id="369232365">
              <w:marLeft w:val="0"/>
              <w:marRight w:val="92"/>
              <w:marTop w:val="0"/>
              <w:marBottom w:val="0"/>
              <w:divBdr>
                <w:top w:val="none" w:sz="0" w:space="0" w:color="auto"/>
                <w:left w:val="none" w:sz="0" w:space="0" w:color="auto"/>
                <w:bottom w:val="none" w:sz="0" w:space="0" w:color="auto"/>
                <w:right w:val="none" w:sz="0" w:space="0" w:color="auto"/>
              </w:divBdr>
            </w:div>
          </w:divsChild>
        </w:div>
      </w:divsChild>
    </w:div>
    <w:div w:id="1261066027">
      <w:bodyDiv w:val="1"/>
      <w:marLeft w:val="0"/>
      <w:marRight w:val="0"/>
      <w:marTop w:val="0"/>
      <w:marBottom w:val="0"/>
      <w:divBdr>
        <w:top w:val="none" w:sz="0" w:space="0" w:color="auto"/>
        <w:left w:val="none" w:sz="0" w:space="0" w:color="auto"/>
        <w:bottom w:val="none" w:sz="0" w:space="0" w:color="auto"/>
        <w:right w:val="none" w:sz="0" w:space="0" w:color="auto"/>
      </w:divBdr>
    </w:div>
    <w:div w:id="1312712903">
      <w:bodyDiv w:val="1"/>
      <w:marLeft w:val="39"/>
      <w:marRight w:val="39"/>
      <w:marTop w:val="39"/>
      <w:marBottom w:val="39"/>
      <w:divBdr>
        <w:top w:val="none" w:sz="0" w:space="0" w:color="auto"/>
        <w:left w:val="none" w:sz="0" w:space="0" w:color="auto"/>
        <w:bottom w:val="none" w:sz="0" w:space="0" w:color="auto"/>
        <w:right w:val="none" w:sz="0" w:space="0" w:color="auto"/>
      </w:divBdr>
      <w:divsChild>
        <w:div w:id="2098939971">
          <w:marLeft w:val="62"/>
          <w:marRight w:val="0"/>
          <w:marTop w:val="77"/>
          <w:marBottom w:val="0"/>
          <w:divBdr>
            <w:top w:val="none" w:sz="0" w:space="0" w:color="auto"/>
            <w:left w:val="none" w:sz="0" w:space="0" w:color="auto"/>
            <w:bottom w:val="none" w:sz="0" w:space="0" w:color="auto"/>
            <w:right w:val="none" w:sz="0" w:space="0" w:color="auto"/>
          </w:divBdr>
          <w:divsChild>
            <w:div w:id="1538352185">
              <w:marLeft w:val="0"/>
              <w:marRight w:val="77"/>
              <w:marTop w:val="0"/>
              <w:marBottom w:val="0"/>
              <w:divBdr>
                <w:top w:val="none" w:sz="0" w:space="0" w:color="auto"/>
                <w:left w:val="none" w:sz="0" w:space="0" w:color="auto"/>
                <w:bottom w:val="none" w:sz="0" w:space="0" w:color="auto"/>
                <w:right w:val="none" w:sz="0" w:space="0" w:color="auto"/>
              </w:divBdr>
            </w:div>
          </w:divsChild>
        </w:div>
      </w:divsChild>
    </w:div>
    <w:div w:id="1525484322">
      <w:bodyDiv w:val="1"/>
      <w:marLeft w:val="0"/>
      <w:marRight w:val="0"/>
      <w:marTop w:val="0"/>
      <w:marBottom w:val="0"/>
      <w:divBdr>
        <w:top w:val="none" w:sz="0" w:space="0" w:color="auto"/>
        <w:left w:val="none" w:sz="0" w:space="0" w:color="auto"/>
        <w:bottom w:val="none" w:sz="0" w:space="0" w:color="auto"/>
        <w:right w:val="none" w:sz="0" w:space="0" w:color="auto"/>
      </w:divBdr>
    </w:div>
    <w:div w:id="1598128045">
      <w:bodyDiv w:val="1"/>
      <w:marLeft w:val="0"/>
      <w:marRight w:val="0"/>
      <w:marTop w:val="0"/>
      <w:marBottom w:val="0"/>
      <w:divBdr>
        <w:top w:val="none" w:sz="0" w:space="0" w:color="auto"/>
        <w:left w:val="none" w:sz="0" w:space="0" w:color="auto"/>
        <w:bottom w:val="none" w:sz="0" w:space="0" w:color="auto"/>
        <w:right w:val="none" w:sz="0" w:space="0" w:color="auto"/>
      </w:divBdr>
    </w:div>
    <w:div w:id="1600942565">
      <w:bodyDiv w:val="1"/>
      <w:marLeft w:val="0"/>
      <w:marRight w:val="0"/>
      <w:marTop w:val="0"/>
      <w:marBottom w:val="0"/>
      <w:divBdr>
        <w:top w:val="none" w:sz="0" w:space="0" w:color="auto"/>
        <w:left w:val="none" w:sz="0" w:space="0" w:color="auto"/>
        <w:bottom w:val="none" w:sz="0" w:space="0" w:color="auto"/>
        <w:right w:val="none" w:sz="0" w:space="0" w:color="auto"/>
      </w:divBdr>
    </w:div>
    <w:div w:id="2015108100">
      <w:bodyDiv w:val="1"/>
      <w:marLeft w:val="0"/>
      <w:marRight w:val="0"/>
      <w:marTop w:val="0"/>
      <w:marBottom w:val="0"/>
      <w:divBdr>
        <w:top w:val="none" w:sz="0" w:space="0" w:color="auto"/>
        <w:left w:val="none" w:sz="0" w:space="0" w:color="auto"/>
        <w:bottom w:val="none" w:sz="0" w:space="0" w:color="auto"/>
        <w:right w:val="none" w:sz="0" w:space="0" w:color="auto"/>
      </w:divBdr>
      <w:divsChild>
        <w:div w:id="2033919225">
          <w:marLeft w:val="0"/>
          <w:marRight w:val="0"/>
          <w:marTop w:val="0"/>
          <w:marBottom w:val="0"/>
          <w:divBdr>
            <w:top w:val="none" w:sz="0" w:space="0" w:color="auto"/>
            <w:left w:val="none" w:sz="0" w:space="0" w:color="auto"/>
            <w:bottom w:val="none" w:sz="0" w:space="0" w:color="auto"/>
            <w:right w:val="none" w:sz="0" w:space="0" w:color="auto"/>
          </w:divBdr>
          <w:divsChild>
            <w:div w:id="808013486">
              <w:marLeft w:val="0"/>
              <w:marRight w:val="0"/>
              <w:marTop w:val="0"/>
              <w:marBottom w:val="0"/>
              <w:divBdr>
                <w:top w:val="none" w:sz="0" w:space="0" w:color="auto"/>
                <w:left w:val="none" w:sz="0" w:space="0" w:color="auto"/>
                <w:bottom w:val="none" w:sz="0" w:space="0" w:color="auto"/>
                <w:right w:val="none" w:sz="0" w:space="0" w:color="auto"/>
              </w:divBdr>
              <w:divsChild>
                <w:div w:id="1821648776">
                  <w:marLeft w:val="0"/>
                  <w:marRight w:val="0"/>
                  <w:marTop w:val="0"/>
                  <w:marBottom w:val="0"/>
                  <w:divBdr>
                    <w:top w:val="none" w:sz="0" w:space="0" w:color="auto"/>
                    <w:left w:val="none" w:sz="0" w:space="0" w:color="auto"/>
                    <w:bottom w:val="none" w:sz="0" w:space="0" w:color="auto"/>
                    <w:right w:val="none" w:sz="0" w:space="0" w:color="auto"/>
                  </w:divBdr>
                  <w:divsChild>
                    <w:div w:id="793476938">
                      <w:marLeft w:val="1662"/>
                      <w:marRight w:val="1818"/>
                      <w:marTop w:val="0"/>
                      <w:marBottom w:val="0"/>
                      <w:divBdr>
                        <w:top w:val="none" w:sz="0" w:space="0" w:color="auto"/>
                        <w:left w:val="none" w:sz="0" w:space="0" w:color="auto"/>
                        <w:bottom w:val="none" w:sz="0" w:space="0" w:color="auto"/>
                        <w:right w:val="none" w:sz="0" w:space="0" w:color="auto"/>
                      </w:divBdr>
                      <w:divsChild>
                        <w:div w:id="1000306097">
                          <w:marLeft w:val="0"/>
                          <w:marRight w:val="0"/>
                          <w:marTop w:val="0"/>
                          <w:marBottom w:val="0"/>
                          <w:divBdr>
                            <w:top w:val="none" w:sz="0" w:space="0" w:color="auto"/>
                            <w:left w:val="none" w:sz="0" w:space="0" w:color="auto"/>
                            <w:bottom w:val="none" w:sz="0" w:space="0" w:color="auto"/>
                            <w:right w:val="none" w:sz="0" w:space="0" w:color="auto"/>
                          </w:divBdr>
                          <w:divsChild>
                            <w:div w:id="678654976">
                              <w:marLeft w:val="0"/>
                              <w:marRight w:val="0"/>
                              <w:marTop w:val="0"/>
                              <w:marBottom w:val="0"/>
                              <w:divBdr>
                                <w:top w:val="none" w:sz="0" w:space="0" w:color="auto"/>
                                <w:left w:val="none" w:sz="0" w:space="0" w:color="auto"/>
                                <w:bottom w:val="none" w:sz="0" w:space="0" w:color="auto"/>
                                <w:right w:val="none" w:sz="0" w:space="0" w:color="auto"/>
                              </w:divBdr>
                              <w:divsChild>
                                <w:div w:id="20771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4829">
                          <w:marLeft w:val="0"/>
                          <w:marRight w:val="0"/>
                          <w:marTop w:val="0"/>
                          <w:marBottom w:val="0"/>
                          <w:divBdr>
                            <w:top w:val="none" w:sz="0" w:space="0" w:color="auto"/>
                            <w:left w:val="none" w:sz="0" w:space="0" w:color="auto"/>
                            <w:bottom w:val="none" w:sz="0" w:space="0" w:color="auto"/>
                            <w:right w:val="none" w:sz="0" w:space="0" w:color="auto"/>
                          </w:divBdr>
                          <w:divsChild>
                            <w:div w:id="71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c.gov/ag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C060-01EF-AA4A-B3E2-A58E5076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6860</Words>
  <Characters>39107</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2012-02-13T15:14:00Z</dcterms:created>
  <dcterms:modified xsi:type="dcterms:W3CDTF">2012-02-13T15:14:00Z</dcterms:modified>
</cp:coreProperties>
</file>