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2A" w:rsidRDefault="0053162A" w:rsidP="0053162A"/>
    <w:p w:rsidR="0053162A" w:rsidRDefault="0053162A" w:rsidP="0053162A"/>
    <w:p w:rsidR="0053162A" w:rsidRDefault="0053162A" w:rsidP="0053162A"/>
    <w:p w:rsidR="0053162A" w:rsidRDefault="0053162A" w:rsidP="0053162A">
      <w:r>
        <w:t xml:space="preserve">April </w:t>
      </w:r>
      <w:r w:rsidR="00546FAA">
        <w:t>25</w:t>
      </w:r>
      <w:r>
        <w:t>, 2019</w:t>
      </w:r>
    </w:p>
    <w:p w:rsidR="0053162A" w:rsidRDefault="0053162A" w:rsidP="005316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162A" w:rsidTr="0093295F">
        <w:tc>
          <w:tcPr>
            <w:tcW w:w="4675" w:type="dxa"/>
          </w:tcPr>
          <w:p w:rsidR="0053162A" w:rsidRDefault="0053162A" w:rsidP="0053162A">
            <w:r>
              <w:t>The Honorable Roy Blunt</w:t>
            </w:r>
          </w:p>
          <w:p w:rsidR="0053162A" w:rsidRDefault="0053162A" w:rsidP="0053162A">
            <w:r>
              <w:t>Chairman</w:t>
            </w:r>
          </w:p>
          <w:p w:rsidR="0053162A" w:rsidRDefault="0053162A" w:rsidP="0053162A">
            <w:r>
              <w:t>Senate Appropriations Subcommittee on Labor, Health and Human Services, Education and Related Agencies</w:t>
            </w:r>
          </w:p>
          <w:p w:rsidR="0053162A" w:rsidRDefault="0053162A" w:rsidP="0053162A">
            <w:r>
              <w:t>Washington, DC 20510</w:t>
            </w:r>
          </w:p>
        </w:tc>
        <w:tc>
          <w:tcPr>
            <w:tcW w:w="4675" w:type="dxa"/>
          </w:tcPr>
          <w:p w:rsidR="0053162A" w:rsidRDefault="0053162A" w:rsidP="0053162A">
            <w:r>
              <w:t>The Honorable Patty Murray</w:t>
            </w:r>
          </w:p>
          <w:p w:rsidR="0053162A" w:rsidRDefault="0053162A" w:rsidP="0053162A">
            <w:r>
              <w:t>Ranking Member</w:t>
            </w:r>
          </w:p>
          <w:p w:rsidR="0053162A" w:rsidRDefault="0053162A" w:rsidP="0053162A">
            <w:r>
              <w:t xml:space="preserve">Senate Appropriations Subcommittee on Labor, Health and Human Services, Education and Related Agencies </w:t>
            </w:r>
          </w:p>
          <w:p w:rsidR="0053162A" w:rsidRDefault="0053162A" w:rsidP="0053162A">
            <w:r>
              <w:t>Washington, DC 20510</w:t>
            </w:r>
          </w:p>
        </w:tc>
      </w:tr>
      <w:tr w:rsidR="0053162A" w:rsidTr="0093295F">
        <w:tc>
          <w:tcPr>
            <w:tcW w:w="4675" w:type="dxa"/>
          </w:tcPr>
          <w:p w:rsidR="00205957" w:rsidRDefault="00205957" w:rsidP="0053162A"/>
          <w:p w:rsidR="0053162A" w:rsidRDefault="0053162A" w:rsidP="0053162A">
            <w:r>
              <w:t>The Honorable Rosa DeLauro</w:t>
            </w:r>
          </w:p>
          <w:p w:rsidR="0053162A" w:rsidRDefault="0053162A" w:rsidP="0053162A">
            <w:r>
              <w:t xml:space="preserve">Chairwoman </w:t>
            </w:r>
          </w:p>
          <w:p w:rsidR="0053162A" w:rsidRDefault="0053162A" w:rsidP="0053162A">
            <w:r>
              <w:t>House Appropriations Subcommittee on Labor, Health and Human Services, Education and Related Agencies</w:t>
            </w:r>
          </w:p>
          <w:p w:rsidR="0053162A" w:rsidRDefault="0053162A" w:rsidP="0053162A">
            <w:r>
              <w:t>Washington, DC 2051</w:t>
            </w:r>
            <w:r w:rsidR="007A1767">
              <w:t>5</w:t>
            </w:r>
          </w:p>
        </w:tc>
        <w:tc>
          <w:tcPr>
            <w:tcW w:w="4675" w:type="dxa"/>
          </w:tcPr>
          <w:p w:rsidR="00205957" w:rsidRDefault="00205957" w:rsidP="0053162A"/>
          <w:p w:rsidR="0053162A" w:rsidRDefault="0053162A" w:rsidP="0053162A">
            <w:r>
              <w:t>The Honorable Tom Cole</w:t>
            </w:r>
          </w:p>
          <w:p w:rsidR="0053162A" w:rsidRDefault="0053162A" w:rsidP="0053162A">
            <w:r>
              <w:t>Ranking Member</w:t>
            </w:r>
          </w:p>
          <w:p w:rsidR="0053162A" w:rsidRDefault="0053162A" w:rsidP="0053162A">
            <w:r>
              <w:t>House Appropriations Subcommittee on Labor, Health and Human Services, Education and Related Agencies</w:t>
            </w:r>
          </w:p>
          <w:p w:rsidR="0053162A" w:rsidRDefault="0053162A" w:rsidP="0053162A">
            <w:r>
              <w:t>Washington, DC 2051</w:t>
            </w:r>
            <w:r w:rsidR="007A1767">
              <w:t>5</w:t>
            </w:r>
          </w:p>
        </w:tc>
      </w:tr>
    </w:tbl>
    <w:p w:rsidR="0053162A" w:rsidRDefault="0053162A" w:rsidP="0053162A"/>
    <w:p w:rsidR="0053162A" w:rsidRDefault="0053162A" w:rsidP="0053162A">
      <w:pPr>
        <w:pStyle w:val="BodyText"/>
        <w:ind w:left="0"/>
      </w:pPr>
      <w:r w:rsidRPr="00EE3D24">
        <w:t>Dear Chairm</w:t>
      </w:r>
      <w:r>
        <w:t>a</w:t>
      </w:r>
      <w:r w:rsidRPr="00EE3D24">
        <w:t xml:space="preserve">n Blunt and </w:t>
      </w:r>
      <w:r>
        <w:t>Chairwoman DeLauro</w:t>
      </w:r>
      <w:r w:rsidRPr="00EE3D24">
        <w:t xml:space="preserve"> and Ranking Members Murray and </w:t>
      </w:r>
      <w:r>
        <w:t>Cole</w:t>
      </w:r>
      <w:r w:rsidRPr="00EE3D24">
        <w:t>:</w:t>
      </w:r>
    </w:p>
    <w:p w:rsidR="0053162A" w:rsidRDefault="0053162A" w:rsidP="0053162A">
      <w:pPr>
        <w:pStyle w:val="BodyText"/>
        <w:spacing w:before="1"/>
        <w:ind w:left="0"/>
      </w:pPr>
    </w:p>
    <w:p w:rsidR="0053162A" w:rsidRDefault="0053162A" w:rsidP="0053162A">
      <w:pPr>
        <w:pStyle w:val="BodyText"/>
        <w:ind w:left="0"/>
      </w:pPr>
      <w:r>
        <w:t>On behalf of the undersigned 4</w:t>
      </w:r>
      <w:r w:rsidR="007A1767">
        <w:t>6</w:t>
      </w:r>
      <w:r>
        <w:t xml:space="preserve"> organizations, we are writing to encourage your continued support for the Centers for Disease Control and Prevention (CDC) in the FY 2020 appropriations process, specifically the National Center for Chronic Disease Prevention and Health Promotion at CDC. After years of flat funding for most programs in this Center, we strongly urge you to provide significant and meaningful increases for these programs that can address health disparities and reach underserved communities across the </w:t>
      </w:r>
      <w:proofErr w:type="gramStart"/>
      <w:r>
        <w:t>nation, and</w:t>
      </w:r>
      <w:proofErr w:type="gramEnd"/>
      <w:r>
        <w:t xml:space="preserve"> improve health across the lifespan.</w:t>
      </w:r>
    </w:p>
    <w:p w:rsidR="0053162A" w:rsidRDefault="0053162A" w:rsidP="0053162A">
      <w:pPr>
        <w:pStyle w:val="BodyText"/>
        <w:ind w:left="100" w:right="29"/>
      </w:pPr>
    </w:p>
    <w:p w:rsidR="0053162A" w:rsidRDefault="0053162A" w:rsidP="0053162A">
      <w:pPr>
        <w:pStyle w:val="BodyText"/>
        <w:ind w:left="0"/>
      </w:pPr>
      <w:r>
        <w:t xml:space="preserve">For years, these programs have failed to see any significant increases and fall far short of meeting the potential to reduce healthcare costs and improve health outcomes. Chronic diseases -- heart disease, stroke, cancer, diabetes, arthritis, epilepsy and others -- are at epidemic levels with 6 in 10 Americans living with one chronic disease and 4 in 10 living with two or more. Although chronic diseases are largely </w:t>
      </w:r>
      <w:proofErr w:type="gramStart"/>
      <w:r>
        <w:t>preventable</w:t>
      </w:r>
      <w:proofErr w:type="gramEnd"/>
      <w:r>
        <w:t xml:space="preserve"> and the complications of chronic diseases are largely controllable, they are the leading cause of death and disability.  Treating chronic disease conditions is the leading driver of healthcare costs, which accounts for 90% of healthcare expenditures. As part of the overall campaign to increase the CDC budget 22% by FY 2022, now is the time to make bold investments in prevention that can impact communities across our states and territories with evidence-based public health interventions which occur outside the clinical setting of a hospital or doctor’s office.</w:t>
      </w:r>
    </w:p>
    <w:p w:rsidR="0053162A" w:rsidRDefault="0053162A" w:rsidP="0053162A">
      <w:pPr>
        <w:pStyle w:val="BodyText"/>
        <w:ind w:left="0" w:right="29"/>
      </w:pPr>
    </w:p>
    <w:p w:rsidR="0053162A" w:rsidRDefault="0053162A" w:rsidP="0053162A">
      <w:pPr>
        <w:pStyle w:val="BodyText"/>
        <w:ind w:left="0"/>
      </w:pPr>
      <w:r>
        <w:t>We thank you for maintaining the existing funding mechanisms of this Center in FY 2018 and FY 2019 and urge you to support increases in funding in FY 2020. The Administration’s proposal for “America’s Health Block Grant” would not adequately support interventions to prevent and control chronic disease. The current funding provides resources and technical expertise through state health departments, national organizations, and local partner groups. Maintaining the existing funding mechanisms allows for ongoing accountability, transparency and measurable outcomes with Congress, states, local communities, and taxpayers.</w:t>
      </w:r>
    </w:p>
    <w:p w:rsidR="0053162A" w:rsidRDefault="0053162A" w:rsidP="0053162A">
      <w:pPr>
        <w:pStyle w:val="BodyText"/>
        <w:ind w:left="100" w:right="102"/>
      </w:pPr>
    </w:p>
    <w:p w:rsidR="0053162A" w:rsidRDefault="0053162A" w:rsidP="0053162A">
      <w:pPr>
        <w:pStyle w:val="BodyText"/>
        <w:ind w:left="0"/>
      </w:pPr>
      <w:r w:rsidRPr="00D9110E">
        <w:lastRenderedPageBreak/>
        <w:t>As we look to FY 20</w:t>
      </w:r>
      <w:r>
        <w:t>20</w:t>
      </w:r>
      <w:r w:rsidRPr="00D9110E">
        <w:t xml:space="preserve"> funding decisions, we will continue to support sustained categorical funding for Diabetes, Heart Disease and Stroke, Nutrition, Physical Activity and </w:t>
      </w:r>
      <w:r>
        <w:t>Obesity Prevention,</w:t>
      </w:r>
      <w:r w:rsidRPr="00D9110E">
        <w:t xml:space="preserve"> and tobacco control programs operated through state health agencies in partnership with communities across America</w:t>
      </w:r>
      <w:r>
        <w:t xml:space="preserve"> that are proposed for the block grant</w:t>
      </w:r>
      <w:r w:rsidRPr="00D9110E">
        <w:t>. We also encourage sustained funding for key cancer programs within the Center including breast &amp; cervical, colorectal, prostate, ovarian, and skin cancer, registries, and cancer survivorship, along with Prevention Research Cen</w:t>
      </w:r>
      <w:r>
        <w:t>ters, Healthy Schools, REACH, Million Hearts</w:t>
      </w:r>
      <w:r w:rsidRPr="00D9110E">
        <w:t xml:space="preserve">, Alzheimer’s disease, epilepsy, lupus, and </w:t>
      </w:r>
      <w:r>
        <w:t>other health promotion programs.</w:t>
      </w:r>
      <w:r w:rsidRPr="009A7225">
        <w:t xml:space="preserve"> </w:t>
      </w:r>
    </w:p>
    <w:p w:rsidR="0053162A" w:rsidRDefault="0053162A" w:rsidP="0053162A">
      <w:pPr>
        <w:pStyle w:val="BodyText"/>
        <w:ind w:left="0"/>
      </w:pPr>
    </w:p>
    <w:p w:rsidR="0053162A" w:rsidRDefault="0053162A" w:rsidP="0053162A">
      <w:pPr>
        <w:pStyle w:val="BodyText"/>
        <w:ind w:left="0"/>
      </w:pPr>
      <w:r>
        <w:t>The groups listed below, representing a broad spectrum of patients, public health and healthcare professionals and providers, strongly encourage you to continue to support these essential CDC programs to provide evidence-based services that spread the tools necessary for all Americans to reach full health potential and life expectancy.</w:t>
      </w:r>
    </w:p>
    <w:p w:rsidR="0053162A" w:rsidRDefault="0053162A" w:rsidP="0053162A">
      <w:pPr>
        <w:pStyle w:val="BodyText"/>
        <w:spacing w:before="11"/>
        <w:ind w:left="0"/>
        <w:rPr>
          <w:sz w:val="19"/>
        </w:rPr>
      </w:pPr>
    </w:p>
    <w:p w:rsidR="0053162A" w:rsidRDefault="0053162A" w:rsidP="0053162A">
      <w:pPr>
        <w:pStyle w:val="BodyText"/>
        <w:ind w:left="0"/>
      </w:pPr>
      <w:r>
        <w:t>We thank you again for your leadership and support of public health, prevention, and health promotion.</w:t>
      </w:r>
    </w:p>
    <w:p w:rsidR="0053162A" w:rsidRDefault="0053162A" w:rsidP="0053162A">
      <w:pPr>
        <w:pStyle w:val="BodyText"/>
        <w:spacing w:line="480" w:lineRule="auto"/>
        <w:ind w:left="0"/>
      </w:pPr>
    </w:p>
    <w:p w:rsidR="0053162A" w:rsidRDefault="0053162A" w:rsidP="0053162A">
      <w:pPr>
        <w:pStyle w:val="BodyText"/>
        <w:ind w:left="0" w:right="5420"/>
      </w:pPr>
      <w:r>
        <w:t>Sincerely,</w:t>
      </w:r>
    </w:p>
    <w:p w:rsidR="0053162A" w:rsidRDefault="0053162A" w:rsidP="0053162A">
      <w:pPr>
        <w:pStyle w:val="BodyText"/>
        <w:tabs>
          <w:tab w:val="left" w:pos="3119"/>
        </w:tabs>
        <w:ind w:right="-15120"/>
        <w:rPr>
          <w:sz w:val="18"/>
        </w:rPr>
        <w:sectPr w:rsidR="0053162A" w:rsidSect="003714CF">
          <w:pgSz w:w="12240" w:h="15840"/>
          <w:pgMar w:top="979" w:right="1440" w:bottom="1440" w:left="1440" w:header="720" w:footer="720" w:gutter="0"/>
          <w:cols w:space="720"/>
          <w:docGrid w:linePitch="360"/>
        </w:sectPr>
      </w:pPr>
    </w:p>
    <w:p w:rsidR="00205957" w:rsidRDefault="00205957" w:rsidP="0053162A">
      <w:pPr>
        <w:pStyle w:val="BodyText"/>
        <w:tabs>
          <w:tab w:val="left" w:pos="3119"/>
        </w:tabs>
        <w:ind w:left="0" w:right="-15120"/>
      </w:pPr>
      <w:r>
        <w:t>National Association of Chronic Disease Directors</w:t>
      </w:r>
    </w:p>
    <w:p w:rsidR="0053162A" w:rsidRPr="0053162A" w:rsidRDefault="0053162A" w:rsidP="0053162A">
      <w:pPr>
        <w:pStyle w:val="BodyText"/>
        <w:tabs>
          <w:tab w:val="left" w:pos="3119"/>
        </w:tabs>
        <w:ind w:left="0" w:right="-15120"/>
      </w:pPr>
      <w:r w:rsidRPr="0053162A">
        <w:t>Academy of Nutrition and Dietetics</w:t>
      </w:r>
    </w:p>
    <w:p w:rsidR="0053162A" w:rsidRPr="0053162A" w:rsidRDefault="0053162A" w:rsidP="0053162A">
      <w:pPr>
        <w:pStyle w:val="BodyText"/>
        <w:tabs>
          <w:tab w:val="left" w:pos="3119"/>
        </w:tabs>
        <w:ind w:left="0" w:right="-15120"/>
      </w:pPr>
      <w:r w:rsidRPr="0053162A">
        <w:t>American Bone Health</w:t>
      </w:r>
    </w:p>
    <w:p w:rsidR="0053162A" w:rsidRPr="0053162A" w:rsidRDefault="0053162A" w:rsidP="0053162A">
      <w:pPr>
        <w:pStyle w:val="BodyText"/>
        <w:tabs>
          <w:tab w:val="left" w:pos="3119"/>
        </w:tabs>
        <w:ind w:left="0" w:right="-15120"/>
      </w:pPr>
      <w:r w:rsidRPr="0053162A">
        <w:t>American Cancer Society Cancer Action Network</w:t>
      </w:r>
    </w:p>
    <w:p w:rsidR="0053162A" w:rsidRPr="0053162A" w:rsidRDefault="0053162A" w:rsidP="0053162A">
      <w:pPr>
        <w:pStyle w:val="BodyText"/>
        <w:tabs>
          <w:tab w:val="left" w:pos="3119"/>
        </w:tabs>
        <w:ind w:left="0" w:right="-15120"/>
      </w:pPr>
      <w:r w:rsidRPr="0053162A">
        <w:t>American College of Rheumatology</w:t>
      </w:r>
    </w:p>
    <w:p w:rsidR="0053162A" w:rsidRPr="0053162A" w:rsidRDefault="0053162A" w:rsidP="0053162A">
      <w:pPr>
        <w:pStyle w:val="BodyText"/>
        <w:tabs>
          <w:tab w:val="left" w:pos="3119"/>
        </w:tabs>
        <w:ind w:left="0" w:right="-15120"/>
      </w:pPr>
      <w:r w:rsidRPr="0053162A">
        <w:t>American College of Sports Medicine</w:t>
      </w:r>
    </w:p>
    <w:p w:rsidR="0053162A" w:rsidRPr="0053162A" w:rsidRDefault="0053162A" w:rsidP="0053162A">
      <w:pPr>
        <w:pStyle w:val="BodyText"/>
        <w:tabs>
          <w:tab w:val="left" w:pos="3119"/>
        </w:tabs>
        <w:ind w:left="0" w:right="-15120"/>
      </w:pPr>
      <w:r w:rsidRPr="0053162A">
        <w:t>American Diabetes Association</w:t>
      </w:r>
    </w:p>
    <w:p w:rsidR="0053162A" w:rsidRPr="0053162A" w:rsidRDefault="0053162A" w:rsidP="0053162A">
      <w:pPr>
        <w:pStyle w:val="BodyText"/>
        <w:tabs>
          <w:tab w:val="left" w:pos="3119"/>
        </w:tabs>
        <w:ind w:left="0" w:right="-15120"/>
      </w:pPr>
      <w:r w:rsidRPr="0053162A">
        <w:t xml:space="preserve">American Heart Association </w:t>
      </w:r>
    </w:p>
    <w:p w:rsidR="0053162A" w:rsidRPr="0053162A" w:rsidRDefault="0053162A" w:rsidP="0053162A">
      <w:pPr>
        <w:pStyle w:val="BodyText"/>
        <w:tabs>
          <w:tab w:val="left" w:pos="3119"/>
        </w:tabs>
        <w:ind w:left="0" w:right="-15120"/>
      </w:pPr>
      <w:r w:rsidRPr="0053162A">
        <w:t>American Public Health Association</w:t>
      </w:r>
    </w:p>
    <w:p w:rsidR="0053162A" w:rsidRPr="0053162A" w:rsidRDefault="0053162A" w:rsidP="0053162A">
      <w:pPr>
        <w:pStyle w:val="BodyText"/>
        <w:tabs>
          <w:tab w:val="left" w:pos="3119"/>
        </w:tabs>
        <w:ind w:left="0" w:right="-15120"/>
      </w:pPr>
      <w:r w:rsidRPr="0053162A">
        <w:t>Association of State and Territorial Health Officials</w:t>
      </w:r>
    </w:p>
    <w:p w:rsidR="0053162A" w:rsidRPr="0053162A" w:rsidRDefault="0053162A" w:rsidP="0053162A">
      <w:pPr>
        <w:pStyle w:val="BodyText"/>
        <w:tabs>
          <w:tab w:val="left" w:pos="3119"/>
        </w:tabs>
        <w:ind w:left="0" w:right="-15120"/>
      </w:pPr>
      <w:r w:rsidRPr="0053162A">
        <w:t>Atrium Health</w:t>
      </w:r>
    </w:p>
    <w:p w:rsidR="0053162A" w:rsidRPr="0053162A" w:rsidRDefault="0053162A" w:rsidP="0053162A">
      <w:pPr>
        <w:pStyle w:val="BodyText"/>
        <w:tabs>
          <w:tab w:val="left" w:pos="3119"/>
        </w:tabs>
        <w:ind w:left="0" w:right="-15120"/>
      </w:pPr>
      <w:r w:rsidRPr="0053162A">
        <w:t>Barbour County Health Department</w:t>
      </w:r>
    </w:p>
    <w:p w:rsidR="0053162A" w:rsidRPr="0053162A" w:rsidRDefault="0053162A" w:rsidP="0053162A">
      <w:pPr>
        <w:pStyle w:val="BodyText"/>
        <w:tabs>
          <w:tab w:val="left" w:pos="3119"/>
        </w:tabs>
        <w:ind w:left="0" w:right="-15120"/>
      </w:pPr>
      <w:r w:rsidRPr="0053162A">
        <w:t>Bellingham Senior Activity Center</w:t>
      </w:r>
    </w:p>
    <w:p w:rsidR="0053162A" w:rsidRPr="0053162A" w:rsidRDefault="0053162A" w:rsidP="0053162A">
      <w:pPr>
        <w:pStyle w:val="BodyText"/>
        <w:tabs>
          <w:tab w:val="left" w:pos="3119"/>
        </w:tabs>
        <w:ind w:left="0" w:right="-15120"/>
      </w:pPr>
      <w:r w:rsidRPr="0053162A">
        <w:t>Big Cities Health Coalition</w:t>
      </w:r>
    </w:p>
    <w:p w:rsidR="0053162A" w:rsidRPr="0053162A" w:rsidRDefault="0053162A" w:rsidP="0053162A">
      <w:pPr>
        <w:pStyle w:val="BodyText"/>
        <w:tabs>
          <w:tab w:val="left" w:pos="3119"/>
        </w:tabs>
        <w:ind w:left="0" w:right="-15120"/>
      </w:pPr>
      <w:r w:rsidRPr="0053162A">
        <w:t>Bronx Breastfeeding Coalition</w:t>
      </w:r>
    </w:p>
    <w:p w:rsidR="0053162A" w:rsidRPr="0053162A" w:rsidRDefault="0053162A" w:rsidP="0053162A">
      <w:pPr>
        <w:pStyle w:val="BodyText"/>
        <w:tabs>
          <w:tab w:val="left" w:pos="3119"/>
        </w:tabs>
        <w:ind w:left="0" w:right="-15120"/>
      </w:pPr>
      <w:r w:rsidRPr="0053162A">
        <w:t>Campaign for Tobacco-Free Kids</w:t>
      </w:r>
    </w:p>
    <w:p w:rsidR="0053162A" w:rsidRPr="0053162A" w:rsidRDefault="0053162A" w:rsidP="0053162A">
      <w:pPr>
        <w:pStyle w:val="BodyText"/>
        <w:tabs>
          <w:tab w:val="left" w:pos="3119"/>
        </w:tabs>
        <w:ind w:left="0" w:right="-15120"/>
      </w:pPr>
      <w:r w:rsidRPr="0053162A">
        <w:t>Cancer Council of the Pacific Islands</w:t>
      </w:r>
    </w:p>
    <w:p w:rsidR="0053162A" w:rsidRPr="0053162A" w:rsidRDefault="0053162A" w:rsidP="0053162A">
      <w:pPr>
        <w:pStyle w:val="BodyText"/>
        <w:tabs>
          <w:tab w:val="left" w:pos="3119"/>
        </w:tabs>
        <w:ind w:left="0" w:right="-15120"/>
      </w:pPr>
      <w:proofErr w:type="spellStart"/>
      <w:r w:rsidRPr="0053162A">
        <w:t>ChangeLab</w:t>
      </w:r>
      <w:proofErr w:type="spellEnd"/>
      <w:r w:rsidRPr="0053162A">
        <w:t xml:space="preserve"> Solutions</w:t>
      </w:r>
    </w:p>
    <w:p w:rsidR="0053162A" w:rsidRPr="0053162A" w:rsidRDefault="0053162A" w:rsidP="0053162A">
      <w:pPr>
        <w:pStyle w:val="BodyText"/>
        <w:tabs>
          <w:tab w:val="left" w:pos="3119"/>
        </w:tabs>
        <w:ind w:left="0" w:right="-15120"/>
      </w:pPr>
      <w:r w:rsidRPr="0053162A">
        <w:t>CUNY School of Medicine</w:t>
      </w:r>
    </w:p>
    <w:p w:rsidR="0053162A" w:rsidRPr="0053162A" w:rsidRDefault="0053162A" w:rsidP="0053162A">
      <w:pPr>
        <w:pStyle w:val="BodyText"/>
        <w:tabs>
          <w:tab w:val="left" w:pos="3119"/>
        </w:tabs>
        <w:ind w:left="0" w:right="-15120"/>
      </w:pPr>
      <w:r w:rsidRPr="0053162A">
        <w:t>Diabetes Patient Advocacy Coalition</w:t>
      </w:r>
    </w:p>
    <w:p w:rsidR="0011559A" w:rsidRDefault="0011559A" w:rsidP="0053162A">
      <w:pPr>
        <w:pStyle w:val="BodyText"/>
        <w:tabs>
          <w:tab w:val="left" w:pos="3119"/>
        </w:tabs>
        <w:ind w:left="0" w:right="-15120"/>
      </w:pPr>
      <w:r>
        <w:t>Epilepsy Foundation</w:t>
      </w:r>
    </w:p>
    <w:p w:rsidR="0053162A" w:rsidRPr="0053162A" w:rsidRDefault="0053162A" w:rsidP="0053162A">
      <w:pPr>
        <w:pStyle w:val="BodyText"/>
        <w:tabs>
          <w:tab w:val="left" w:pos="3119"/>
        </w:tabs>
        <w:ind w:left="0" w:right="-15120"/>
      </w:pPr>
      <w:r w:rsidRPr="0053162A">
        <w:t>Erie Family Health Center</w:t>
      </w:r>
    </w:p>
    <w:p w:rsidR="0053162A" w:rsidRPr="0053162A" w:rsidRDefault="0053162A" w:rsidP="0053162A">
      <w:pPr>
        <w:pStyle w:val="BodyText"/>
        <w:tabs>
          <w:tab w:val="left" w:pos="3119"/>
        </w:tabs>
        <w:ind w:left="0" w:right="-15120"/>
      </w:pPr>
      <w:r w:rsidRPr="0053162A">
        <w:t>IBACH</w:t>
      </w:r>
    </w:p>
    <w:p w:rsidR="0053162A" w:rsidRPr="0053162A" w:rsidRDefault="0053162A" w:rsidP="0053162A">
      <w:pPr>
        <w:pStyle w:val="BodyText"/>
        <w:tabs>
          <w:tab w:val="left" w:pos="3119"/>
        </w:tabs>
        <w:ind w:left="0" w:right="-15120"/>
      </w:pPr>
      <w:r w:rsidRPr="0053162A">
        <w:t>Louisiana Cancer Prevention and Control</w:t>
      </w:r>
    </w:p>
    <w:p w:rsidR="0053162A" w:rsidRPr="0053162A" w:rsidRDefault="0053162A" w:rsidP="0053162A">
      <w:pPr>
        <w:pStyle w:val="BodyText"/>
        <w:tabs>
          <w:tab w:val="left" w:pos="3119"/>
        </w:tabs>
        <w:ind w:left="0" w:right="-15120"/>
      </w:pPr>
      <w:r w:rsidRPr="0053162A">
        <w:t>National Association of County and City Health Officials</w:t>
      </w:r>
    </w:p>
    <w:p w:rsidR="0053162A" w:rsidRPr="0053162A" w:rsidRDefault="0053162A" w:rsidP="0053162A">
      <w:pPr>
        <w:pStyle w:val="BodyText"/>
        <w:tabs>
          <w:tab w:val="left" w:pos="3119"/>
        </w:tabs>
        <w:ind w:left="0" w:right="-15120"/>
      </w:pPr>
      <w:r w:rsidRPr="0053162A">
        <w:t>National Forum for Heart Disease &amp; Stroke Prevention</w:t>
      </w:r>
    </w:p>
    <w:p w:rsidR="0053162A" w:rsidRPr="0053162A" w:rsidRDefault="0053162A" w:rsidP="0053162A">
      <w:pPr>
        <w:pStyle w:val="BodyText"/>
        <w:tabs>
          <w:tab w:val="left" w:pos="3119"/>
        </w:tabs>
        <w:ind w:left="0" w:right="-15120"/>
      </w:pPr>
      <w:r w:rsidRPr="0053162A">
        <w:t>National Health Care for the Homeless Council</w:t>
      </w:r>
    </w:p>
    <w:p w:rsidR="0053162A" w:rsidRPr="0053162A" w:rsidRDefault="0053162A" w:rsidP="0053162A">
      <w:pPr>
        <w:pStyle w:val="BodyText"/>
        <w:tabs>
          <w:tab w:val="left" w:pos="3119"/>
        </w:tabs>
        <w:ind w:left="0" w:right="-15120"/>
      </w:pPr>
      <w:r w:rsidRPr="0053162A">
        <w:t>National Physical Activity Plan Alliance</w:t>
      </w:r>
    </w:p>
    <w:p w:rsidR="0053162A" w:rsidRPr="0053162A" w:rsidRDefault="0053162A" w:rsidP="0053162A">
      <w:pPr>
        <w:pStyle w:val="BodyText"/>
        <w:tabs>
          <w:tab w:val="left" w:pos="3119"/>
        </w:tabs>
        <w:ind w:left="0" w:right="-15120"/>
      </w:pPr>
      <w:r w:rsidRPr="0053162A">
        <w:t>Northeast Missouri Regional Arthritis Center</w:t>
      </w:r>
    </w:p>
    <w:p w:rsidR="0053162A" w:rsidRPr="0053162A" w:rsidRDefault="0053162A" w:rsidP="0053162A">
      <w:pPr>
        <w:pStyle w:val="BodyText"/>
        <w:tabs>
          <w:tab w:val="left" w:pos="3119"/>
        </w:tabs>
        <w:ind w:left="0" w:right="-15120"/>
      </w:pPr>
      <w:r w:rsidRPr="0053162A">
        <w:t>Pathways to American Indian and Alaska Native Wellness</w:t>
      </w:r>
    </w:p>
    <w:p w:rsidR="0053162A" w:rsidRPr="0053162A" w:rsidRDefault="0053162A" w:rsidP="0053162A">
      <w:pPr>
        <w:pStyle w:val="BodyText"/>
        <w:tabs>
          <w:tab w:val="left" w:pos="3119"/>
        </w:tabs>
        <w:ind w:left="0" w:right="-15120"/>
      </w:pPr>
      <w:r w:rsidRPr="0053162A">
        <w:t>PFC Consulting, LLC</w:t>
      </w:r>
    </w:p>
    <w:p w:rsidR="0053162A" w:rsidRPr="0053162A" w:rsidRDefault="0053162A" w:rsidP="0053162A">
      <w:pPr>
        <w:pStyle w:val="BodyText"/>
        <w:tabs>
          <w:tab w:val="left" w:pos="3119"/>
        </w:tabs>
        <w:ind w:left="0" w:right="-15120"/>
      </w:pPr>
      <w:r w:rsidRPr="0053162A">
        <w:t>Prevent Blindness</w:t>
      </w:r>
    </w:p>
    <w:p w:rsidR="0053162A" w:rsidRPr="0053162A" w:rsidRDefault="0053162A" w:rsidP="0053162A">
      <w:pPr>
        <w:pStyle w:val="BodyText"/>
        <w:tabs>
          <w:tab w:val="left" w:pos="3119"/>
        </w:tabs>
        <w:ind w:left="0" w:right="-15120"/>
      </w:pPr>
      <w:r w:rsidRPr="0053162A">
        <w:t>Prevention Institute</w:t>
      </w:r>
    </w:p>
    <w:p w:rsidR="0053162A" w:rsidRPr="0053162A" w:rsidRDefault="0053162A" w:rsidP="0053162A">
      <w:pPr>
        <w:pStyle w:val="BodyText"/>
        <w:tabs>
          <w:tab w:val="left" w:pos="3119"/>
        </w:tabs>
        <w:ind w:left="0" w:right="-15120"/>
      </w:pPr>
      <w:r w:rsidRPr="0053162A">
        <w:t>Public Health Institute</w:t>
      </w:r>
    </w:p>
    <w:p w:rsidR="0053162A" w:rsidRPr="0053162A" w:rsidRDefault="0053162A" w:rsidP="0053162A">
      <w:pPr>
        <w:pStyle w:val="BodyText"/>
        <w:tabs>
          <w:tab w:val="left" w:pos="3119"/>
        </w:tabs>
        <w:ind w:left="0" w:right="-15120"/>
      </w:pPr>
      <w:proofErr w:type="spellStart"/>
      <w:r w:rsidRPr="0053162A">
        <w:t>RiverStone</w:t>
      </w:r>
      <w:proofErr w:type="spellEnd"/>
      <w:r w:rsidRPr="0053162A">
        <w:t xml:space="preserve"> Health</w:t>
      </w:r>
    </w:p>
    <w:p w:rsidR="0053162A" w:rsidRPr="0053162A" w:rsidRDefault="0053162A" w:rsidP="0053162A">
      <w:pPr>
        <w:pStyle w:val="BodyText"/>
        <w:tabs>
          <w:tab w:val="left" w:pos="3119"/>
        </w:tabs>
        <w:ind w:left="0" w:right="-15120"/>
      </w:pPr>
      <w:r w:rsidRPr="0053162A">
        <w:t>Rutgers, The State University of New Jersey</w:t>
      </w:r>
    </w:p>
    <w:p w:rsidR="0053162A" w:rsidRPr="0053162A" w:rsidRDefault="0053162A" w:rsidP="0053162A">
      <w:pPr>
        <w:pStyle w:val="BodyText"/>
        <w:tabs>
          <w:tab w:val="left" w:pos="3119"/>
        </w:tabs>
        <w:ind w:left="0" w:right="-15120"/>
      </w:pPr>
      <w:r w:rsidRPr="0053162A">
        <w:t>Society for Public Health Education</w:t>
      </w:r>
    </w:p>
    <w:p w:rsidR="0053162A" w:rsidRPr="0053162A" w:rsidRDefault="0053162A" w:rsidP="0053162A">
      <w:pPr>
        <w:pStyle w:val="BodyText"/>
        <w:tabs>
          <w:tab w:val="left" w:pos="3119"/>
        </w:tabs>
        <w:ind w:left="0" w:right="-15120"/>
      </w:pPr>
      <w:r w:rsidRPr="0053162A">
        <w:t>Solera Health</w:t>
      </w:r>
    </w:p>
    <w:p w:rsidR="0053162A" w:rsidRPr="0053162A" w:rsidRDefault="0053162A" w:rsidP="0053162A">
      <w:pPr>
        <w:pStyle w:val="BodyText"/>
        <w:tabs>
          <w:tab w:val="left" w:pos="3119"/>
        </w:tabs>
        <w:ind w:left="0" w:right="-15120"/>
      </w:pPr>
      <w:r w:rsidRPr="0053162A">
        <w:t>Solve ME/CFS Initiative</w:t>
      </w:r>
    </w:p>
    <w:p w:rsidR="0053162A" w:rsidRPr="0053162A" w:rsidRDefault="0053162A" w:rsidP="0053162A">
      <w:pPr>
        <w:pStyle w:val="BodyText"/>
        <w:tabs>
          <w:tab w:val="left" w:pos="3119"/>
        </w:tabs>
        <w:ind w:left="0" w:right="-15120"/>
      </w:pPr>
      <w:r w:rsidRPr="0053162A">
        <w:t xml:space="preserve">South East American Indian Council </w:t>
      </w:r>
      <w:r>
        <w:t>I</w:t>
      </w:r>
      <w:r w:rsidRPr="0053162A">
        <w:t>nc</w:t>
      </w:r>
      <w:r>
        <w:t>.</w:t>
      </w:r>
    </w:p>
    <w:p w:rsidR="0053162A" w:rsidRPr="0053162A" w:rsidRDefault="0053162A" w:rsidP="0053162A">
      <w:pPr>
        <w:pStyle w:val="BodyText"/>
        <w:tabs>
          <w:tab w:val="left" w:pos="3119"/>
        </w:tabs>
        <w:ind w:left="0" w:right="-15120"/>
      </w:pPr>
      <w:r w:rsidRPr="0053162A">
        <w:t>Southern Nevada Health District</w:t>
      </w:r>
    </w:p>
    <w:p w:rsidR="0053162A" w:rsidRPr="0053162A" w:rsidRDefault="0053162A" w:rsidP="0053162A">
      <w:pPr>
        <w:pStyle w:val="BodyText"/>
        <w:tabs>
          <w:tab w:val="left" w:pos="3119"/>
        </w:tabs>
        <w:ind w:left="0" w:right="-15120"/>
      </w:pPr>
      <w:r w:rsidRPr="0053162A">
        <w:t>Southwest Perinatal Education Services, LLC</w:t>
      </w:r>
    </w:p>
    <w:p w:rsidR="0053162A" w:rsidRPr="0053162A" w:rsidRDefault="0053162A" w:rsidP="0053162A">
      <w:pPr>
        <w:pStyle w:val="BodyText"/>
        <w:tabs>
          <w:tab w:val="left" w:pos="3119"/>
        </w:tabs>
        <w:ind w:left="0" w:right="-15120"/>
      </w:pPr>
      <w:r w:rsidRPr="0053162A">
        <w:t>Stony Brook Univers</w:t>
      </w:r>
      <w:r>
        <w:t>ity</w:t>
      </w:r>
    </w:p>
    <w:p w:rsidR="0053162A" w:rsidRPr="0053162A" w:rsidRDefault="0053162A" w:rsidP="0053162A">
      <w:pPr>
        <w:pStyle w:val="BodyText"/>
        <w:tabs>
          <w:tab w:val="left" w:pos="3119"/>
        </w:tabs>
        <w:ind w:left="0" w:right="-15120"/>
      </w:pPr>
      <w:r w:rsidRPr="0053162A">
        <w:t>The Food Trust</w:t>
      </w:r>
    </w:p>
    <w:p w:rsidR="0053162A" w:rsidRPr="0053162A" w:rsidRDefault="0053162A" w:rsidP="0053162A">
      <w:pPr>
        <w:pStyle w:val="BodyText"/>
        <w:tabs>
          <w:tab w:val="left" w:pos="3119"/>
        </w:tabs>
        <w:ind w:left="0" w:right="-15120"/>
      </w:pPr>
      <w:r w:rsidRPr="0053162A">
        <w:t>Trust for America's Health</w:t>
      </w:r>
    </w:p>
    <w:p w:rsidR="0053162A" w:rsidRPr="0053162A" w:rsidRDefault="007A1767" w:rsidP="0053162A">
      <w:pPr>
        <w:pStyle w:val="BodyText"/>
        <w:tabs>
          <w:tab w:val="left" w:pos="3119"/>
        </w:tabs>
        <w:ind w:left="-460" w:right="-15120"/>
      </w:pPr>
      <w:r>
        <w:t xml:space="preserve">  </w:t>
      </w:r>
      <w:bookmarkStart w:id="0" w:name="_GoBack"/>
      <w:bookmarkEnd w:id="0"/>
      <w:r w:rsidR="0053162A">
        <w:t xml:space="preserve">     Y</w:t>
      </w:r>
      <w:r w:rsidR="0053162A" w:rsidRPr="0053162A">
        <w:t>MCA of the USA</w:t>
      </w:r>
    </w:p>
    <w:p w:rsidR="0053162A" w:rsidRDefault="0053162A" w:rsidP="0053162A">
      <w:pPr>
        <w:sectPr w:rsidR="0053162A" w:rsidSect="0053162A">
          <w:type w:val="continuous"/>
          <w:pgSz w:w="12240" w:h="15840"/>
          <w:pgMar w:top="720" w:right="1254" w:bottom="720" w:left="720" w:header="720" w:footer="720" w:gutter="0"/>
          <w:cols w:num="2" w:space="720"/>
          <w:docGrid w:linePitch="360"/>
        </w:sectPr>
      </w:pPr>
    </w:p>
    <w:p w:rsidR="0053162A" w:rsidRDefault="0053162A" w:rsidP="0053162A"/>
    <w:p w:rsidR="00437B48" w:rsidRDefault="007A1767" w:rsidP="0053162A"/>
    <w:sectPr w:rsidR="00437B48" w:rsidSect="0053162A">
      <w:type w:val="continuous"/>
      <w:pgSz w:w="12240" w:h="15840"/>
      <w:pgMar w:top="97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2A"/>
    <w:rsid w:val="00002037"/>
    <w:rsid w:val="000812B0"/>
    <w:rsid w:val="0008349C"/>
    <w:rsid w:val="0011559A"/>
    <w:rsid w:val="00205957"/>
    <w:rsid w:val="003714CF"/>
    <w:rsid w:val="0053162A"/>
    <w:rsid w:val="00546FAA"/>
    <w:rsid w:val="006F72EA"/>
    <w:rsid w:val="00786BCF"/>
    <w:rsid w:val="007A1767"/>
    <w:rsid w:val="00801E68"/>
    <w:rsid w:val="0093295F"/>
    <w:rsid w:val="00B43753"/>
    <w:rsid w:val="00BD0156"/>
    <w:rsid w:val="00D75AFA"/>
    <w:rsid w:val="00EB6759"/>
    <w:rsid w:val="00EC004B"/>
    <w:rsid w:val="00EF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2371"/>
  <w14:defaultImageDpi w14:val="32767"/>
  <w15:chartTrackingRefBased/>
  <w15:docId w15:val="{666ABEDA-AEA2-A744-B826-9648A429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162A"/>
    <w:pPr>
      <w:widowControl w:val="0"/>
      <w:autoSpaceDE w:val="0"/>
      <w:autoSpaceDN w:val="0"/>
      <w:ind w:left="460"/>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53162A"/>
    <w:rPr>
      <w:rFonts w:ascii="Verdana" w:eastAsia="Verdana" w:hAnsi="Verdana" w:cs="Verdana"/>
      <w:sz w:val="20"/>
      <w:szCs w:val="20"/>
      <w:lang w:bidi="en-US"/>
    </w:rPr>
  </w:style>
  <w:style w:type="table" w:styleId="TableGrid">
    <w:name w:val="Table Grid"/>
    <w:basedOn w:val="TableNormal"/>
    <w:uiPriority w:val="39"/>
    <w:rsid w:val="0053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NACDD Administrator</dc:creator>
  <cp:keywords/>
  <dc:description/>
  <cp:lastModifiedBy>Amy Souders</cp:lastModifiedBy>
  <cp:revision>5</cp:revision>
  <dcterms:created xsi:type="dcterms:W3CDTF">2019-04-25T18:12:00Z</dcterms:created>
  <dcterms:modified xsi:type="dcterms:W3CDTF">2019-04-26T19:08:00Z</dcterms:modified>
</cp:coreProperties>
</file>