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AB70" w14:textId="193023FA" w:rsidR="002225C3" w:rsidRDefault="00BE4D47" w:rsidP="00BE4D47">
      <w:pPr>
        <w:pStyle w:val="Heading1"/>
        <w:spacing w:before="73" w:line="244" w:lineRule="auto"/>
        <w:ind w:left="1864" w:right="1742" w:hanging="403"/>
        <w:jc w:val="center"/>
      </w:pPr>
      <w:r w:rsidRPr="00E615AA">
        <w:rPr>
          <w:b w:val="0"/>
          <w:noProof/>
          <w:sz w:val="32"/>
          <w:szCs w:val="32"/>
          <w:lang w:bidi="ar-SA"/>
        </w:rPr>
        <w:drawing>
          <wp:anchor distT="0" distB="0" distL="114300" distR="114300" simplePos="0" relativeHeight="251659264" behindDoc="1" locked="0" layoutInCell="1" allowOverlap="1" wp14:anchorId="1B325AF2" wp14:editId="75D7C8DB">
            <wp:simplePos x="0" y="0"/>
            <wp:positionH relativeFrom="column">
              <wp:posOffset>0</wp:posOffset>
            </wp:positionH>
            <wp:positionV relativeFrom="paragraph">
              <wp:posOffset>-635</wp:posOffset>
            </wp:positionV>
            <wp:extent cx="895350" cy="1242956"/>
            <wp:effectExtent l="0" t="0" r="0" b="0"/>
            <wp:wrapNone/>
            <wp:docPr id="2" name="Picture 2" descr="K:\SHARE\CPAL Cancer Prevention across the Lifespan\CPAL Marketing Materials\Graphics - Creative Services\cance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CPAL Cancer Prevention across the Lifespan\CPAL Marketing Materials\Graphics - Creative Services\cancer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2429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2F3A">
        <w:t xml:space="preserve">Opportunities for Cancer Prevention </w:t>
      </w:r>
      <w:r>
        <w:t xml:space="preserve">Across the Lifespan: </w:t>
      </w:r>
      <w:bookmarkStart w:id="0" w:name="_GoBack"/>
      <w:r w:rsidR="00F32F3A">
        <w:t>Putting Scientific Evidence into Public Health Practice</w:t>
      </w:r>
      <w:bookmarkEnd w:id="0"/>
    </w:p>
    <w:p w14:paraId="66E0F812" w14:textId="34D83FBA" w:rsidR="00BE4D47" w:rsidRDefault="00BE4D47" w:rsidP="00BE4D47">
      <w:pPr>
        <w:pStyle w:val="Heading1"/>
        <w:spacing w:before="73" w:line="244" w:lineRule="auto"/>
        <w:ind w:left="1864" w:right="1742" w:hanging="403"/>
        <w:jc w:val="center"/>
      </w:pPr>
    </w:p>
    <w:p w14:paraId="671191EB" w14:textId="606AAD94" w:rsidR="00BE4D47" w:rsidRDefault="00BE4D47" w:rsidP="00235F18">
      <w:pPr>
        <w:pStyle w:val="Heading1"/>
        <w:spacing w:before="73" w:line="244" w:lineRule="auto"/>
        <w:ind w:left="1864" w:right="1742" w:hanging="403"/>
      </w:pPr>
    </w:p>
    <w:p w14:paraId="063AD0E4" w14:textId="77777777" w:rsidR="002225C3" w:rsidRDefault="002225C3">
      <w:pPr>
        <w:pStyle w:val="BodyText"/>
        <w:ind w:left="0" w:firstLine="0"/>
        <w:rPr>
          <w:b/>
          <w:sz w:val="16"/>
        </w:rPr>
      </w:pPr>
    </w:p>
    <w:p w14:paraId="6FF2F674" w14:textId="775F7387" w:rsidR="002225C3" w:rsidRDefault="002225C3" w:rsidP="00C34D41">
      <w:pPr>
        <w:spacing w:before="232"/>
        <w:rPr>
          <w:b/>
          <w:sz w:val="24"/>
        </w:rPr>
      </w:pPr>
    </w:p>
    <w:p w14:paraId="7A5EEA0E" w14:textId="77777777" w:rsidR="00C34D41" w:rsidRPr="00C34D41" w:rsidRDefault="00C34D41" w:rsidP="00C34D41">
      <w:pPr>
        <w:rPr>
          <w:rFonts w:asciiTheme="majorHAnsi" w:hAnsiTheme="majorHAnsi"/>
          <w:b/>
          <w:sz w:val="24"/>
          <w:szCs w:val="24"/>
        </w:rPr>
      </w:pPr>
      <w:r w:rsidRPr="00C34D41">
        <w:rPr>
          <w:rFonts w:asciiTheme="majorHAnsi" w:hAnsiTheme="majorHAnsi"/>
          <w:b/>
          <w:sz w:val="24"/>
          <w:szCs w:val="24"/>
        </w:rPr>
        <w:t>Background</w:t>
      </w:r>
    </w:p>
    <w:p w14:paraId="2646204F" w14:textId="1E9CBB6F" w:rsidR="00C34D41" w:rsidRDefault="00C34D41" w:rsidP="00C34D41">
      <w:pPr>
        <w:rPr>
          <w:rFonts w:asciiTheme="majorHAnsi" w:hAnsiTheme="majorHAnsi"/>
          <w:sz w:val="24"/>
          <w:szCs w:val="24"/>
        </w:rPr>
      </w:pPr>
      <w:r w:rsidRPr="00C34D41">
        <w:rPr>
          <w:rFonts w:asciiTheme="majorHAnsi" w:hAnsiTheme="majorHAnsi"/>
          <w:sz w:val="24"/>
          <w:szCs w:val="24"/>
        </w:rPr>
        <w:t xml:space="preserve">CDC’s Division of Cancer Prevention and Control formed the Cancer Prevention Across the Lifespan </w:t>
      </w:r>
      <w:r>
        <w:rPr>
          <w:rFonts w:asciiTheme="majorHAnsi" w:hAnsiTheme="majorHAnsi"/>
          <w:sz w:val="24"/>
          <w:szCs w:val="24"/>
        </w:rPr>
        <w:t xml:space="preserve">(CPAL) </w:t>
      </w:r>
      <w:r w:rsidRPr="00C34D41">
        <w:rPr>
          <w:rFonts w:asciiTheme="majorHAnsi" w:hAnsiTheme="majorHAnsi"/>
          <w:sz w:val="24"/>
          <w:szCs w:val="24"/>
        </w:rPr>
        <w:t xml:space="preserve">workgroup in an effort to address cancer risk and protective factors at each phase of life.  </w:t>
      </w:r>
      <w:r w:rsidR="00721F48">
        <w:rPr>
          <w:rFonts w:asciiTheme="majorHAnsi" w:hAnsiTheme="majorHAnsi"/>
          <w:sz w:val="24"/>
          <w:szCs w:val="24"/>
        </w:rPr>
        <w:t xml:space="preserve">In previous years, the CPAL workgroup collaborated with external partner to conduct reviews of the literature and convene expert meetings to identify factors that influence cancer risk and promoting strategies to address these factors during every phase of life.  This project will use the information gained from this previous work and apply it to the development of innovative resources to empower public health practitioners, including CDC funded Comprehensive Cancer Control grantees, to put evidence-based cancer prevention strategies into action in their communities using a lifespan approach.  More information about the previous work of the CPAL workgroup is available on the CDC website </w:t>
      </w:r>
      <w:hyperlink r:id="rId8" w:history="1">
        <w:r w:rsidR="00B66D1F" w:rsidRPr="00725EDF">
          <w:rPr>
            <w:rStyle w:val="Hyperlink"/>
            <w:rFonts w:asciiTheme="majorHAnsi" w:hAnsiTheme="majorHAnsi"/>
            <w:sz w:val="24"/>
            <w:szCs w:val="24"/>
          </w:rPr>
          <w:t>https://www.cdc.gov/cancer/dcpc/prevention/lifetime.htm</w:t>
        </w:r>
      </w:hyperlink>
      <w:r w:rsidR="00721F48">
        <w:rPr>
          <w:rFonts w:asciiTheme="majorHAnsi" w:hAnsiTheme="majorHAnsi"/>
          <w:sz w:val="24"/>
          <w:szCs w:val="24"/>
        </w:rPr>
        <w:t>.</w:t>
      </w:r>
    </w:p>
    <w:p w14:paraId="0EE93158" w14:textId="2316B877" w:rsidR="00721F48" w:rsidRDefault="00721F48" w:rsidP="00C34D41">
      <w:pPr>
        <w:rPr>
          <w:rFonts w:asciiTheme="majorHAnsi" w:hAnsiTheme="majorHAnsi"/>
          <w:sz w:val="24"/>
          <w:szCs w:val="24"/>
        </w:rPr>
      </w:pPr>
    </w:p>
    <w:p w14:paraId="196582AF" w14:textId="77777777" w:rsidR="00721F48" w:rsidRDefault="00721F48" w:rsidP="00721F48">
      <w:pPr>
        <w:pStyle w:val="BodyText"/>
        <w:spacing w:before="0"/>
        <w:ind w:left="0" w:right="1197" w:firstLine="0"/>
      </w:pPr>
      <w:r>
        <w:t>During the first year of this five-year project, the core focus areas are:</w:t>
      </w:r>
    </w:p>
    <w:p w14:paraId="66534385" w14:textId="77777777" w:rsidR="00721F48" w:rsidRDefault="00721F48" w:rsidP="00721F48">
      <w:pPr>
        <w:pStyle w:val="BodyText"/>
        <w:numPr>
          <w:ilvl w:val="0"/>
          <w:numId w:val="3"/>
        </w:numPr>
        <w:spacing w:before="0"/>
        <w:ind w:right="1197"/>
      </w:pPr>
      <w:r>
        <w:t>Calculating and communicating cancer risk</w:t>
      </w:r>
    </w:p>
    <w:p w14:paraId="23523E41" w14:textId="77777777" w:rsidR="00721F48" w:rsidRDefault="00721F48" w:rsidP="00721F48">
      <w:pPr>
        <w:pStyle w:val="BodyText"/>
        <w:numPr>
          <w:ilvl w:val="0"/>
          <w:numId w:val="3"/>
        </w:numPr>
        <w:spacing w:before="0"/>
        <w:ind w:right="1197"/>
      </w:pPr>
      <w:r>
        <w:t xml:space="preserve">Reduction of unnecessary exposure to medical radiation </w:t>
      </w:r>
    </w:p>
    <w:p w14:paraId="252AFD89" w14:textId="77777777" w:rsidR="00721F48" w:rsidRDefault="00721F48" w:rsidP="00721F48">
      <w:pPr>
        <w:pStyle w:val="BodyText"/>
        <w:numPr>
          <w:ilvl w:val="0"/>
          <w:numId w:val="3"/>
        </w:numPr>
        <w:spacing w:before="0"/>
        <w:ind w:right="1197"/>
      </w:pPr>
      <w:r>
        <w:t>Physical Inactivity</w:t>
      </w:r>
    </w:p>
    <w:p w14:paraId="7D4D33E7" w14:textId="77777777" w:rsidR="00721F48" w:rsidRDefault="00721F48" w:rsidP="00721F48">
      <w:pPr>
        <w:pStyle w:val="BodyText"/>
        <w:numPr>
          <w:ilvl w:val="0"/>
          <w:numId w:val="3"/>
        </w:numPr>
        <w:spacing w:before="0"/>
        <w:ind w:right="1197"/>
      </w:pPr>
      <w:r>
        <w:t>Caregiver stress</w:t>
      </w:r>
    </w:p>
    <w:p w14:paraId="79E878D4" w14:textId="77777777" w:rsidR="00235F18" w:rsidRDefault="00235F18" w:rsidP="00C34D41">
      <w:pPr>
        <w:rPr>
          <w:rFonts w:asciiTheme="majorHAnsi" w:hAnsiTheme="majorHAnsi"/>
          <w:sz w:val="24"/>
          <w:szCs w:val="24"/>
        </w:rPr>
      </w:pPr>
    </w:p>
    <w:p w14:paraId="4FAF1264" w14:textId="3FF455D2" w:rsidR="00C34D41" w:rsidRPr="00C34D41" w:rsidRDefault="00C34D41" w:rsidP="00235F18">
      <w:pPr>
        <w:rPr>
          <w:rFonts w:asciiTheme="majorHAnsi" w:hAnsiTheme="majorHAnsi"/>
          <w:sz w:val="24"/>
          <w:szCs w:val="24"/>
        </w:rPr>
      </w:pPr>
      <w:r w:rsidRPr="00C34D41">
        <w:rPr>
          <w:rFonts w:asciiTheme="majorHAnsi" w:hAnsiTheme="majorHAnsi"/>
          <w:sz w:val="24"/>
          <w:szCs w:val="24"/>
        </w:rPr>
        <w:t>CDC is working in partnership with the National Association of Chronic Disease Directors (NACDD</w:t>
      </w:r>
      <w:r w:rsidR="00235F18">
        <w:rPr>
          <w:rFonts w:asciiTheme="majorHAnsi" w:hAnsiTheme="majorHAnsi"/>
          <w:sz w:val="24"/>
          <w:szCs w:val="24"/>
        </w:rPr>
        <w:t xml:space="preserve"> to address </w:t>
      </w:r>
      <w:r w:rsidR="00721F48">
        <w:rPr>
          <w:rFonts w:asciiTheme="majorHAnsi" w:hAnsiTheme="majorHAnsi"/>
          <w:sz w:val="24"/>
          <w:szCs w:val="24"/>
        </w:rPr>
        <w:t xml:space="preserve">the focus areas </w:t>
      </w:r>
      <w:r w:rsidR="00235F18">
        <w:rPr>
          <w:rFonts w:asciiTheme="majorHAnsi" w:hAnsiTheme="majorHAnsi"/>
          <w:sz w:val="24"/>
          <w:szCs w:val="24"/>
        </w:rPr>
        <w:t xml:space="preserve">for cancer </w:t>
      </w:r>
      <w:r w:rsidR="00721F48">
        <w:rPr>
          <w:rFonts w:asciiTheme="majorHAnsi" w:hAnsiTheme="majorHAnsi"/>
          <w:sz w:val="24"/>
          <w:szCs w:val="24"/>
        </w:rPr>
        <w:t>prevention</w:t>
      </w:r>
      <w:r w:rsidR="00235F18">
        <w:rPr>
          <w:rFonts w:asciiTheme="majorHAnsi" w:hAnsiTheme="majorHAnsi"/>
          <w:sz w:val="24"/>
          <w:szCs w:val="24"/>
        </w:rPr>
        <w:t xml:space="preserve"> through small, in-person meetings of subject matter experts to </w:t>
      </w:r>
    </w:p>
    <w:p w14:paraId="0A616591" w14:textId="77777777" w:rsidR="00C34D41" w:rsidRPr="00C34D41" w:rsidRDefault="00C34D41" w:rsidP="00C34D41">
      <w:pPr>
        <w:pStyle w:val="Default"/>
        <w:ind w:firstLine="60"/>
        <w:rPr>
          <w:rFonts w:asciiTheme="majorHAnsi" w:hAnsiTheme="majorHAnsi"/>
        </w:rPr>
      </w:pPr>
    </w:p>
    <w:p w14:paraId="746AA6AA" w14:textId="6E899955" w:rsidR="00235F18" w:rsidRDefault="00721F48" w:rsidP="00C34D41">
      <w:pPr>
        <w:pStyle w:val="Default"/>
        <w:numPr>
          <w:ilvl w:val="0"/>
          <w:numId w:val="4"/>
        </w:numPr>
        <w:spacing w:after="25"/>
        <w:rPr>
          <w:rFonts w:asciiTheme="majorHAnsi" w:hAnsiTheme="majorHAnsi"/>
        </w:rPr>
      </w:pPr>
      <w:r>
        <w:rPr>
          <w:rFonts w:asciiTheme="majorHAnsi" w:hAnsiTheme="majorHAnsi"/>
        </w:rPr>
        <w:t>Identify and discuss risk factors of interest</w:t>
      </w:r>
    </w:p>
    <w:p w14:paraId="7F39CA01" w14:textId="3CC37411" w:rsidR="00235F18" w:rsidRDefault="00235F18" w:rsidP="00C34D41">
      <w:pPr>
        <w:pStyle w:val="Default"/>
        <w:numPr>
          <w:ilvl w:val="0"/>
          <w:numId w:val="4"/>
        </w:numPr>
        <w:spacing w:after="25"/>
        <w:rPr>
          <w:rFonts w:asciiTheme="majorHAnsi" w:hAnsiTheme="majorHAnsi"/>
        </w:rPr>
      </w:pPr>
      <w:r>
        <w:rPr>
          <w:rFonts w:asciiTheme="majorHAnsi" w:hAnsiTheme="majorHAnsi"/>
        </w:rPr>
        <w:t xml:space="preserve">Identify gaps in existing </w:t>
      </w:r>
      <w:r w:rsidR="00721F48">
        <w:rPr>
          <w:rFonts w:asciiTheme="majorHAnsi" w:hAnsiTheme="majorHAnsi"/>
        </w:rPr>
        <w:t>resources</w:t>
      </w:r>
      <w:r>
        <w:rPr>
          <w:rFonts w:asciiTheme="majorHAnsi" w:hAnsiTheme="majorHAnsi"/>
        </w:rPr>
        <w:t xml:space="preserve">, by type of resource, </w:t>
      </w:r>
      <w:r w:rsidR="00721F48">
        <w:rPr>
          <w:rFonts w:asciiTheme="majorHAnsi" w:hAnsiTheme="majorHAnsi"/>
        </w:rPr>
        <w:t>behavior</w:t>
      </w:r>
      <w:r>
        <w:rPr>
          <w:rFonts w:asciiTheme="majorHAnsi" w:hAnsiTheme="majorHAnsi"/>
        </w:rPr>
        <w:t xml:space="preserve"> or interest or sociodemographic group, to address these risk factors at the community level.</w:t>
      </w:r>
    </w:p>
    <w:p w14:paraId="4489477A" w14:textId="019BB7D6" w:rsidR="00F25CDC" w:rsidRDefault="00721F48" w:rsidP="00C34D41">
      <w:pPr>
        <w:pStyle w:val="Default"/>
        <w:numPr>
          <w:ilvl w:val="0"/>
          <w:numId w:val="4"/>
        </w:numPr>
        <w:spacing w:after="25"/>
        <w:rPr>
          <w:rFonts w:asciiTheme="majorHAnsi" w:hAnsiTheme="majorHAnsi"/>
        </w:rPr>
      </w:pPr>
      <w:r>
        <w:rPr>
          <w:rFonts w:asciiTheme="majorHAnsi" w:hAnsiTheme="majorHAnsi"/>
        </w:rPr>
        <w:t>Determine the types of information and resources that would be most useful to community leaders and public health practitioners when addressing these risk factors at the community level.</w:t>
      </w:r>
    </w:p>
    <w:p w14:paraId="15743042" w14:textId="0CA52DA3" w:rsidR="00F25CDC" w:rsidRDefault="00721F48" w:rsidP="00C34D41">
      <w:pPr>
        <w:pStyle w:val="Default"/>
        <w:numPr>
          <w:ilvl w:val="0"/>
          <w:numId w:val="4"/>
        </w:numPr>
        <w:spacing w:after="25"/>
        <w:rPr>
          <w:rFonts w:asciiTheme="majorHAnsi" w:hAnsiTheme="majorHAnsi"/>
        </w:rPr>
      </w:pPr>
      <w:r>
        <w:rPr>
          <w:rFonts w:asciiTheme="majorHAnsi" w:hAnsiTheme="majorHAnsi"/>
        </w:rPr>
        <w:t>Develop innovative yet practical resource to fill the identified gaps and further the implementation of evidence-based community-level strategies for cancer prevention.</w:t>
      </w:r>
    </w:p>
    <w:p w14:paraId="7BAE53E6" w14:textId="5A3E2B65" w:rsidR="00C34D41" w:rsidRPr="00721F48" w:rsidRDefault="00721F48" w:rsidP="00721F48">
      <w:pPr>
        <w:pStyle w:val="Default"/>
        <w:numPr>
          <w:ilvl w:val="0"/>
          <w:numId w:val="4"/>
        </w:numPr>
        <w:spacing w:after="25"/>
        <w:rPr>
          <w:rFonts w:asciiTheme="majorHAnsi" w:hAnsiTheme="majorHAnsi"/>
        </w:rPr>
      </w:pPr>
      <w:r>
        <w:rPr>
          <w:rFonts w:asciiTheme="majorHAnsi" w:hAnsiTheme="majorHAnsi"/>
        </w:rPr>
        <w:t>Develop Evaluation and Dissemination Plans to assess and maximize the reach, use and impact to the newly created resources.</w:t>
      </w:r>
    </w:p>
    <w:p w14:paraId="69D595EA" w14:textId="77777777" w:rsidR="00C34D41" w:rsidRPr="00C34D41" w:rsidRDefault="00C34D41" w:rsidP="00C34D41">
      <w:pPr>
        <w:rPr>
          <w:rFonts w:asciiTheme="majorHAnsi" w:hAnsiTheme="majorHAnsi"/>
          <w:sz w:val="24"/>
          <w:szCs w:val="24"/>
        </w:rPr>
      </w:pPr>
    </w:p>
    <w:p w14:paraId="41E5197C" w14:textId="77777777" w:rsidR="00C34D41" w:rsidRPr="00C34D41" w:rsidRDefault="00C34D41" w:rsidP="00C34D41">
      <w:pPr>
        <w:rPr>
          <w:rFonts w:asciiTheme="majorHAnsi" w:hAnsiTheme="majorHAnsi"/>
          <w:b/>
          <w:sz w:val="24"/>
          <w:szCs w:val="24"/>
        </w:rPr>
      </w:pPr>
    </w:p>
    <w:p w14:paraId="5B66CE59" w14:textId="77777777" w:rsidR="00C34D41" w:rsidRDefault="00C34D41" w:rsidP="00C34D41"/>
    <w:p w14:paraId="5AD8EBCB" w14:textId="77777777" w:rsidR="002225C3" w:rsidRDefault="00F32F3A">
      <w:pPr>
        <w:tabs>
          <w:tab w:val="left" w:pos="5573"/>
        </w:tabs>
        <w:ind w:left="116"/>
        <w:rPr>
          <w:sz w:val="20"/>
        </w:rPr>
      </w:pPr>
      <w:r>
        <w:rPr>
          <w:noProof/>
          <w:sz w:val="20"/>
          <w:lang w:bidi="ar-SA"/>
        </w:rPr>
        <w:drawing>
          <wp:inline distT="0" distB="0" distL="0" distR="0" wp14:anchorId="4EDAA14A" wp14:editId="346A65DB">
            <wp:extent cx="1602736" cy="7589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02736" cy="758952"/>
                    </a:xfrm>
                    <a:prstGeom prst="rect">
                      <a:avLst/>
                    </a:prstGeom>
                  </pic:spPr>
                </pic:pic>
              </a:graphicData>
            </a:graphic>
          </wp:inline>
        </w:drawing>
      </w:r>
      <w:r>
        <w:rPr>
          <w:sz w:val="20"/>
        </w:rPr>
        <w:tab/>
      </w:r>
      <w:r>
        <w:rPr>
          <w:noProof/>
          <w:position w:val="11"/>
          <w:sz w:val="20"/>
          <w:lang w:bidi="ar-SA"/>
        </w:rPr>
        <w:drawing>
          <wp:inline distT="0" distB="0" distL="0" distR="0" wp14:anchorId="70D25175" wp14:editId="4F8BD99C">
            <wp:extent cx="2714162" cy="53454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714162" cy="534543"/>
                    </a:xfrm>
                    <a:prstGeom prst="rect">
                      <a:avLst/>
                    </a:prstGeom>
                  </pic:spPr>
                </pic:pic>
              </a:graphicData>
            </a:graphic>
          </wp:inline>
        </w:drawing>
      </w:r>
    </w:p>
    <w:sectPr w:rsidR="002225C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60" w:right="1180" w:bottom="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6C35" w14:textId="77777777" w:rsidR="008E12C6" w:rsidRDefault="008E12C6" w:rsidP="00B66D1F">
      <w:r>
        <w:separator/>
      </w:r>
    </w:p>
  </w:endnote>
  <w:endnote w:type="continuationSeparator" w:id="0">
    <w:p w14:paraId="6CB10F41" w14:textId="77777777" w:rsidR="008E12C6" w:rsidRDefault="008E12C6" w:rsidP="00B6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570F" w14:textId="77777777" w:rsidR="00B66D1F" w:rsidRDefault="00B66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6028" w14:textId="77777777" w:rsidR="00B66D1F" w:rsidRDefault="00B66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1C18" w14:textId="77777777" w:rsidR="00B66D1F" w:rsidRDefault="00B6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B09B" w14:textId="77777777" w:rsidR="008E12C6" w:rsidRDefault="008E12C6" w:rsidP="00B66D1F">
      <w:r>
        <w:separator/>
      </w:r>
    </w:p>
  </w:footnote>
  <w:footnote w:type="continuationSeparator" w:id="0">
    <w:p w14:paraId="40B00D64" w14:textId="77777777" w:rsidR="008E12C6" w:rsidRDefault="008E12C6" w:rsidP="00B6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52AD" w14:textId="2A59F928" w:rsidR="00B66D1F" w:rsidRDefault="00B66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0F85" w14:textId="58B82E33" w:rsidR="00B66D1F" w:rsidRDefault="00B66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0871" w14:textId="56BCF6EE" w:rsidR="00B66D1F" w:rsidRDefault="00B6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D7473"/>
    <w:multiLevelType w:val="hybridMultilevel"/>
    <w:tmpl w:val="6E7ADB0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43F72CD0"/>
    <w:multiLevelType w:val="hybridMultilevel"/>
    <w:tmpl w:val="C3C8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B76AE"/>
    <w:multiLevelType w:val="hybridMultilevel"/>
    <w:tmpl w:val="629E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0571A"/>
    <w:multiLevelType w:val="hybridMultilevel"/>
    <w:tmpl w:val="B17E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23161"/>
    <w:multiLevelType w:val="hybridMultilevel"/>
    <w:tmpl w:val="1BA026D0"/>
    <w:lvl w:ilvl="0" w:tplc="565EC3B2">
      <w:numFmt w:val="bullet"/>
      <w:lvlText w:val=""/>
      <w:lvlJc w:val="left"/>
      <w:pPr>
        <w:ind w:left="1200" w:hanging="360"/>
      </w:pPr>
      <w:rPr>
        <w:rFonts w:ascii="Symbol" w:eastAsia="Symbol" w:hAnsi="Symbol" w:cs="Symbol" w:hint="default"/>
        <w:w w:val="76"/>
        <w:sz w:val="24"/>
        <w:szCs w:val="24"/>
        <w:lang w:val="en-US" w:eastAsia="en-US" w:bidi="en-US"/>
      </w:rPr>
    </w:lvl>
    <w:lvl w:ilvl="1" w:tplc="2C0E587A">
      <w:numFmt w:val="bullet"/>
      <w:lvlText w:val=""/>
      <w:lvlJc w:val="left"/>
      <w:pPr>
        <w:ind w:left="1411" w:hanging="360"/>
      </w:pPr>
      <w:rPr>
        <w:rFonts w:ascii="Symbol" w:eastAsia="Symbol" w:hAnsi="Symbol" w:cs="Symbol" w:hint="default"/>
        <w:w w:val="76"/>
        <w:sz w:val="24"/>
        <w:szCs w:val="24"/>
        <w:lang w:val="en-US" w:eastAsia="en-US" w:bidi="en-US"/>
      </w:rPr>
    </w:lvl>
    <w:lvl w:ilvl="2" w:tplc="D4A69CD4">
      <w:numFmt w:val="bullet"/>
      <w:lvlText w:val=""/>
      <w:lvlJc w:val="left"/>
      <w:pPr>
        <w:ind w:left="2131" w:hanging="360"/>
      </w:pPr>
      <w:rPr>
        <w:rFonts w:ascii="Symbol" w:eastAsia="Symbol" w:hAnsi="Symbol" w:cs="Symbol" w:hint="default"/>
        <w:w w:val="76"/>
        <w:sz w:val="24"/>
        <w:szCs w:val="24"/>
        <w:lang w:val="en-US" w:eastAsia="en-US" w:bidi="en-US"/>
      </w:rPr>
    </w:lvl>
    <w:lvl w:ilvl="3" w:tplc="DCC4F588">
      <w:numFmt w:val="bullet"/>
      <w:lvlText w:val="•"/>
      <w:lvlJc w:val="left"/>
      <w:pPr>
        <w:ind w:left="3115" w:hanging="360"/>
      </w:pPr>
      <w:rPr>
        <w:rFonts w:hint="default"/>
        <w:lang w:val="en-US" w:eastAsia="en-US" w:bidi="en-US"/>
      </w:rPr>
    </w:lvl>
    <w:lvl w:ilvl="4" w:tplc="125CCBE0">
      <w:numFmt w:val="bullet"/>
      <w:lvlText w:val="•"/>
      <w:lvlJc w:val="left"/>
      <w:pPr>
        <w:ind w:left="4090" w:hanging="360"/>
      </w:pPr>
      <w:rPr>
        <w:rFonts w:hint="default"/>
        <w:lang w:val="en-US" w:eastAsia="en-US" w:bidi="en-US"/>
      </w:rPr>
    </w:lvl>
    <w:lvl w:ilvl="5" w:tplc="E8048DB8">
      <w:numFmt w:val="bullet"/>
      <w:lvlText w:val="•"/>
      <w:lvlJc w:val="left"/>
      <w:pPr>
        <w:ind w:left="5065" w:hanging="360"/>
      </w:pPr>
      <w:rPr>
        <w:rFonts w:hint="default"/>
        <w:lang w:val="en-US" w:eastAsia="en-US" w:bidi="en-US"/>
      </w:rPr>
    </w:lvl>
    <w:lvl w:ilvl="6" w:tplc="772C5966">
      <w:numFmt w:val="bullet"/>
      <w:lvlText w:val="•"/>
      <w:lvlJc w:val="left"/>
      <w:pPr>
        <w:ind w:left="6040" w:hanging="360"/>
      </w:pPr>
      <w:rPr>
        <w:rFonts w:hint="default"/>
        <w:lang w:val="en-US" w:eastAsia="en-US" w:bidi="en-US"/>
      </w:rPr>
    </w:lvl>
    <w:lvl w:ilvl="7" w:tplc="FA3C7140">
      <w:numFmt w:val="bullet"/>
      <w:lvlText w:val="•"/>
      <w:lvlJc w:val="left"/>
      <w:pPr>
        <w:ind w:left="7015" w:hanging="360"/>
      </w:pPr>
      <w:rPr>
        <w:rFonts w:hint="default"/>
        <w:lang w:val="en-US" w:eastAsia="en-US" w:bidi="en-US"/>
      </w:rPr>
    </w:lvl>
    <w:lvl w:ilvl="8" w:tplc="0FCE923E">
      <w:numFmt w:val="bullet"/>
      <w:lvlText w:val="•"/>
      <w:lvlJc w:val="left"/>
      <w:pPr>
        <w:ind w:left="7990" w:hanging="360"/>
      </w:pPr>
      <w:rPr>
        <w:rFonts w:hint="default"/>
        <w:lang w:val="en-US" w:eastAsia="en-US" w:bidi="en-US"/>
      </w:rPr>
    </w:lvl>
  </w:abstractNum>
  <w:abstractNum w:abstractNumId="5" w15:restartNumberingAfterBreak="0">
    <w:nsid w:val="7AC64A60"/>
    <w:multiLevelType w:val="hybridMultilevel"/>
    <w:tmpl w:val="2AD0F014"/>
    <w:lvl w:ilvl="0" w:tplc="EED4F268">
      <w:numFmt w:val="bullet"/>
      <w:lvlText w:val="o"/>
      <w:lvlJc w:val="left"/>
      <w:pPr>
        <w:ind w:left="2120" w:hanging="360"/>
      </w:pPr>
      <w:rPr>
        <w:rFonts w:ascii="Courier New" w:eastAsia="Courier New" w:hAnsi="Courier New" w:cs="Courier New" w:hint="default"/>
        <w:w w:val="100"/>
        <w:sz w:val="24"/>
        <w:szCs w:val="24"/>
        <w:lang w:val="en-US" w:eastAsia="en-US" w:bidi="en-US"/>
      </w:rPr>
    </w:lvl>
    <w:lvl w:ilvl="1" w:tplc="07BE88C4">
      <w:numFmt w:val="bullet"/>
      <w:lvlText w:val="•"/>
      <w:lvlJc w:val="left"/>
      <w:pPr>
        <w:ind w:left="2902" w:hanging="360"/>
      </w:pPr>
      <w:rPr>
        <w:rFonts w:hint="default"/>
        <w:lang w:val="en-US" w:eastAsia="en-US" w:bidi="en-US"/>
      </w:rPr>
    </w:lvl>
    <w:lvl w:ilvl="2" w:tplc="52DAD6FC">
      <w:numFmt w:val="bullet"/>
      <w:lvlText w:val="•"/>
      <w:lvlJc w:val="left"/>
      <w:pPr>
        <w:ind w:left="3684" w:hanging="360"/>
      </w:pPr>
      <w:rPr>
        <w:rFonts w:hint="default"/>
        <w:lang w:val="en-US" w:eastAsia="en-US" w:bidi="en-US"/>
      </w:rPr>
    </w:lvl>
    <w:lvl w:ilvl="3" w:tplc="1FB272F8">
      <w:numFmt w:val="bullet"/>
      <w:lvlText w:val="•"/>
      <w:lvlJc w:val="left"/>
      <w:pPr>
        <w:ind w:left="4466" w:hanging="360"/>
      </w:pPr>
      <w:rPr>
        <w:rFonts w:hint="default"/>
        <w:lang w:val="en-US" w:eastAsia="en-US" w:bidi="en-US"/>
      </w:rPr>
    </w:lvl>
    <w:lvl w:ilvl="4" w:tplc="25F44BEA">
      <w:numFmt w:val="bullet"/>
      <w:lvlText w:val="•"/>
      <w:lvlJc w:val="left"/>
      <w:pPr>
        <w:ind w:left="5248" w:hanging="360"/>
      </w:pPr>
      <w:rPr>
        <w:rFonts w:hint="default"/>
        <w:lang w:val="en-US" w:eastAsia="en-US" w:bidi="en-US"/>
      </w:rPr>
    </w:lvl>
    <w:lvl w:ilvl="5" w:tplc="D0723552">
      <w:numFmt w:val="bullet"/>
      <w:lvlText w:val="•"/>
      <w:lvlJc w:val="left"/>
      <w:pPr>
        <w:ind w:left="6030" w:hanging="360"/>
      </w:pPr>
      <w:rPr>
        <w:rFonts w:hint="default"/>
        <w:lang w:val="en-US" w:eastAsia="en-US" w:bidi="en-US"/>
      </w:rPr>
    </w:lvl>
    <w:lvl w:ilvl="6" w:tplc="16FAECE6">
      <w:numFmt w:val="bullet"/>
      <w:lvlText w:val="•"/>
      <w:lvlJc w:val="left"/>
      <w:pPr>
        <w:ind w:left="6812" w:hanging="360"/>
      </w:pPr>
      <w:rPr>
        <w:rFonts w:hint="default"/>
        <w:lang w:val="en-US" w:eastAsia="en-US" w:bidi="en-US"/>
      </w:rPr>
    </w:lvl>
    <w:lvl w:ilvl="7" w:tplc="DD965786">
      <w:numFmt w:val="bullet"/>
      <w:lvlText w:val="•"/>
      <w:lvlJc w:val="left"/>
      <w:pPr>
        <w:ind w:left="7594" w:hanging="360"/>
      </w:pPr>
      <w:rPr>
        <w:rFonts w:hint="default"/>
        <w:lang w:val="en-US" w:eastAsia="en-US" w:bidi="en-US"/>
      </w:rPr>
    </w:lvl>
    <w:lvl w:ilvl="8" w:tplc="4BD6BAAC">
      <w:numFmt w:val="bullet"/>
      <w:lvlText w:val="•"/>
      <w:lvlJc w:val="left"/>
      <w:pPr>
        <w:ind w:left="8376" w:hanging="360"/>
      </w:pPr>
      <w:rPr>
        <w:rFonts w:hint="default"/>
        <w:lang w:val="en-US" w:eastAsia="en-US" w:bidi="en-US"/>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C3"/>
    <w:rsid w:val="00063995"/>
    <w:rsid w:val="002225C3"/>
    <w:rsid w:val="00235F18"/>
    <w:rsid w:val="002F3435"/>
    <w:rsid w:val="00317954"/>
    <w:rsid w:val="00421755"/>
    <w:rsid w:val="00500AF6"/>
    <w:rsid w:val="00531520"/>
    <w:rsid w:val="00721F48"/>
    <w:rsid w:val="007E05A6"/>
    <w:rsid w:val="008E12C6"/>
    <w:rsid w:val="008E22E2"/>
    <w:rsid w:val="00914C0A"/>
    <w:rsid w:val="00A816A0"/>
    <w:rsid w:val="00B66D1F"/>
    <w:rsid w:val="00BE4D47"/>
    <w:rsid w:val="00C34D41"/>
    <w:rsid w:val="00C96343"/>
    <w:rsid w:val="00F25CDC"/>
    <w:rsid w:val="00F32F3A"/>
    <w:rsid w:val="00F427CD"/>
    <w:rsid w:val="00FE28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4FBFC"/>
  <w15:docId w15:val="{276D84BD-8BC7-0E44-A23E-CE8B223A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6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200" w:hanging="360"/>
    </w:pPr>
    <w:rPr>
      <w:sz w:val="24"/>
      <w:szCs w:val="24"/>
    </w:rPr>
  </w:style>
  <w:style w:type="paragraph" w:styleId="ListParagraph">
    <w:name w:val="List Paragraph"/>
    <w:basedOn w:val="Normal"/>
    <w:uiPriority w:val="34"/>
    <w:qFormat/>
    <w:pPr>
      <w:spacing w:before="10"/>
      <w:ind w:left="12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31520"/>
    <w:rPr>
      <w:color w:val="0000FF" w:themeColor="hyperlink"/>
      <w:u w:val="single"/>
    </w:rPr>
  </w:style>
  <w:style w:type="character" w:customStyle="1" w:styleId="UnresolvedMention1">
    <w:name w:val="Unresolved Mention1"/>
    <w:basedOn w:val="DefaultParagraphFont"/>
    <w:uiPriority w:val="99"/>
    <w:semiHidden/>
    <w:unhideWhenUsed/>
    <w:rsid w:val="00531520"/>
    <w:rPr>
      <w:color w:val="605E5C"/>
      <w:shd w:val="clear" w:color="auto" w:fill="E1DFDD"/>
    </w:rPr>
  </w:style>
  <w:style w:type="character" w:styleId="CommentReference">
    <w:name w:val="annotation reference"/>
    <w:basedOn w:val="DefaultParagraphFont"/>
    <w:uiPriority w:val="99"/>
    <w:semiHidden/>
    <w:unhideWhenUsed/>
    <w:rsid w:val="00F427CD"/>
    <w:rPr>
      <w:sz w:val="16"/>
      <w:szCs w:val="16"/>
    </w:rPr>
  </w:style>
  <w:style w:type="paragraph" w:styleId="CommentText">
    <w:name w:val="annotation text"/>
    <w:basedOn w:val="Normal"/>
    <w:link w:val="CommentTextChar"/>
    <w:uiPriority w:val="99"/>
    <w:semiHidden/>
    <w:unhideWhenUsed/>
    <w:rsid w:val="00F427CD"/>
    <w:rPr>
      <w:sz w:val="20"/>
      <w:szCs w:val="20"/>
    </w:rPr>
  </w:style>
  <w:style w:type="character" w:customStyle="1" w:styleId="CommentTextChar">
    <w:name w:val="Comment Text Char"/>
    <w:basedOn w:val="DefaultParagraphFont"/>
    <w:link w:val="CommentText"/>
    <w:uiPriority w:val="99"/>
    <w:semiHidden/>
    <w:rsid w:val="00F427CD"/>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F427CD"/>
    <w:rPr>
      <w:b/>
      <w:bCs/>
    </w:rPr>
  </w:style>
  <w:style w:type="character" w:customStyle="1" w:styleId="CommentSubjectChar">
    <w:name w:val="Comment Subject Char"/>
    <w:basedOn w:val="CommentTextChar"/>
    <w:link w:val="CommentSubject"/>
    <w:uiPriority w:val="99"/>
    <w:semiHidden/>
    <w:rsid w:val="00F427CD"/>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F42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7CD"/>
    <w:rPr>
      <w:rFonts w:ascii="Segoe UI" w:eastAsia="Cambria" w:hAnsi="Segoe UI" w:cs="Segoe UI"/>
      <w:sz w:val="18"/>
      <w:szCs w:val="18"/>
      <w:lang w:bidi="en-US"/>
    </w:rPr>
  </w:style>
  <w:style w:type="paragraph" w:customStyle="1" w:styleId="Default">
    <w:name w:val="Default"/>
    <w:rsid w:val="00C34D41"/>
    <w:pPr>
      <w:adjustRightInd w:val="0"/>
    </w:pPr>
    <w:rPr>
      <w:rFonts w:ascii="Cambria" w:eastAsiaTheme="minorEastAsia" w:hAnsi="Cambria" w:cs="Cambria"/>
      <w:color w:val="000000"/>
      <w:sz w:val="24"/>
      <w:szCs w:val="24"/>
    </w:rPr>
  </w:style>
  <w:style w:type="character" w:styleId="UnresolvedMention">
    <w:name w:val="Unresolved Mention"/>
    <w:basedOn w:val="DefaultParagraphFont"/>
    <w:uiPriority w:val="99"/>
    <w:semiHidden/>
    <w:unhideWhenUsed/>
    <w:rsid w:val="00235F18"/>
    <w:rPr>
      <w:color w:val="605E5C"/>
      <w:shd w:val="clear" w:color="auto" w:fill="E1DFDD"/>
    </w:rPr>
  </w:style>
  <w:style w:type="paragraph" w:styleId="Header">
    <w:name w:val="header"/>
    <w:basedOn w:val="Normal"/>
    <w:link w:val="HeaderChar"/>
    <w:uiPriority w:val="99"/>
    <w:unhideWhenUsed/>
    <w:rsid w:val="00B66D1F"/>
    <w:pPr>
      <w:tabs>
        <w:tab w:val="center" w:pos="4680"/>
        <w:tab w:val="right" w:pos="9360"/>
      </w:tabs>
    </w:pPr>
  </w:style>
  <w:style w:type="character" w:customStyle="1" w:styleId="HeaderChar">
    <w:name w:val="Header Char"/>
    <w:basedOn w:val="DefaultParagraphFont"/>
    <w:link w:val="Header"/>
    <w:uiPriority w:val="99"/>
    <w:rsid w:val="00B66D1F"/>
    <w:rPr>
      <w:rFonts w:ascii="Cambria" w:eastAsia="Cambria" w:hAnsi="Cambria" w:cs="Cambria"/>
      <w:lang w:bidi="en-US"/>
    </w:rPr>
  </w:style>
  <w:style w:type="paragraph" w:styleId="Footer">
    <w:name w:val="footer"/>
    <w:basedOn w:val="Normal"/>
    <w:link w:val="FooterChar"/>
    <w:uiPriority w:val="99"/>
    <w:unhideWhenUsed/>
    <w:rsid w:val="00B66D1F"/>
    <w:pPr>
      <w:tabs>
        <w:tab w:val="center" w:pos="4680"/>
        <w:tab w:val="right" w:pos="9360"/>
      </w:tabs>
    </w:pPr>
  </w:style>
  <w:style w:type="character" w:customStyle="1" w:styleId="FooterChar">
    <w:name w:val="Footer Char"/>
    <w:basedOn w:val="DefaultParagraphFont"/>
    <w:link w:val="Footer"/>
    <w:uiPriority w:val="99"/>
    <w:rsid w:val="00B66D1F"/>
    <w:rPr>
      <w:rFonts w:ascii="Cambria" w:eastAsia="Cambria" w:hAnsi="Cambria" w:cs="Cambria"/>
      <w:lang w:bidi="en-US"/>
    </w:rPr>
  </w:style>
  <w:style w:type="paragraph" w:styleId="NormalWeb">
    <w:name w:val="Normal (Web)"/>
    <w:basedOn w:val="Normal"/>
    <w:uiPriority w:val="99"/>
    <w:semiHidden/>
    <w:unhideWhenUsed/>
    <w:rsid w:val="00A816A0"/>
    <w:pPr>
      <w:widowControl/>
      <w:autoSpaceDE/>
      <w:autoSpaceDN/>
      <w:spacing w:before="100" w:beforeAutospacing="1" w:after="100" w:afterAutospacing="1"/>
    </w:pPr>
    <w:rPr>
      <w:rFonts w:ascii="Times New Roman" w:eastAsiaTheme="minorEastAsia" w:hAnsi="Times New Roman" w:cs="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cancer/dcpc/prevention/lifetime.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Best</dc:creator>
  <cp:lastModifiedBy>Stacey Evans</cp:lastModifiedBy>
  <cp:revision>2</cp:revision>
  <dcterms:created xsi:type="dcterms:W3CDTF">2019-01-25T21:16:00Z</dcterms:created>
  <dcterms:modified xsi:type="dcterms:W3CDTF">2019-01-25T21:16:00Z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Microsoft® Word 2013</vt:lpwstr>
  </property>
  <property fmtid="{D5CDD505-2E9C-101B-9397-08002B2CF9AE}" pid="4" name="LastSaved">
    <vt:filetime>2018-10-11T00:00:00Z</vt:filetime>
  </property>
</Properties>
</file>